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Per-adjudicator and split-cell win-share sensitivity</w:t>
      </w:r>
    </w:p>
    <w:p>
      <w:pPr>
        <w:pStyle w:val="ManuscriptBody"/>
      </w:pPr>
      <w:r>
        <w:t xml:space="preserve">eTable 13. Paired differences against Published</w:t>
      </w:r>
    </w:p>
    <w:p>
      <w:pPr>
        <w:pStyle w:val="ManuscriptBody"/>
      </w:pPr>
      <w:r>
        <w:t xml:space="preserve">eTable 14. Paired differences against the composite reference</w:t>
      </w:r>
    </w:p>
    <w:p>
      <w:pPr>
        <w:pStyle w:val="ManuscriptBody"/>
      </w:pPr>
      <w:r>
        <w:t xml:space="preserve">eTable 15. Composite sensitivity using Adjudicator 1</w:t>
      </w:r>
    </w:p>
    <w:p>
      <w:pPr>
        <w:pStyle w:val="ManuscriptBody"/>
      </w:pPr>
      <w:r>
        <w:t xml:space="preserve">eTable 16. Composite paired differences using Adjudicator 1</w:t>
      </w:r>
    </w:p>
    <w:p>
      <w:pPr>
        <w:pStyle w:val="ManuscriptBody"/>
      </w:pPr>
      <w:r>
        <w:t xml:space="preserve">eTable 17. Composite sensitivity using Adjudicator 2</w:t>
      </w:r>
    </w:p>
    <w:p>
      <w:pPr>
        <w:pStyle w:val="ManuscriptBody"/>
      </w:pPr>
      <w:r>
        <w:t xml:space="preserve">eTable 18. Composite paired differences using Adjudicator 2</w:t>
      </w:r>
    </w:p>
    <w:p>
      <w:pPr>
        <w:pStyle w:val="ManuscriptBody"/>
      </w:pPr>
      <w:r>
        <w:t xml:space="preserve">eTable 19. Missing-judgement sensitivity: paired observed Haiku cells</w:t>
      </w:r>
    </w:p>
    <w:p>
      <w:pPr>
        <w:pStyle w:val="ManuscriptBody"/>
      </w:pPr>
      <w:r>
        <w:t xml:space="preserve">eTable 20. Missing-judgement sensitivity: paired Haiku differences</w:t>
      </w:r>
    </w:p>
    <w:p>
      <w:pPr>
        <w:pStyle w:val="ManuscriptBody"/>
      </w:pPr>
      <w:r>
        <w:t xml:space="preserve">eTable 21. Localisation population eligibility</w:t>
      </w:r>
    </w:p>
    <w:p>
      <w:pPr>
        <w:pStyle w:val="ManuscriptBody"/>
      </w:pPr>
      <w:r>
        <w:t xml:space="preserve">eTable 22. Error-localisation classes, both populations</w:t>
      </w:r>
    </w:p>
    <w:p>
      <w:pPr>
        <w:pStyle w:val="ManuscriptBody"/>
      </w:pPr>
      <w:r>
        <w:t xml:space="preserve">eTable 23. Decisive-question frequencies, both populations</w:t>
      </w:r>
    </w:p>
    <w:p>
      <w:pPr>
        <w:pStyle w:val="ManuscriptBody"/>
      </w:pPr>
      <w:r>
        <w:t xml:space="preserve">eTable 24. Unresolved independent answer</w:t>
      </w:r>
    </w:p>
    <w:p>
      <w:pPr>
        <w:pStyle w:val="ManuscriptBody"/>
      </w:pPr>
      <w:r>
        <w:t xml:space="preserve">eTable 25. Recorded model override</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against Published by meta-analysis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modelUsage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 to 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 to 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 to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 to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 to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 to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 to 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 to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 to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 to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 to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 to 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 to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 to 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 to 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 to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 to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 to 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 to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 to 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 to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 to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 to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 to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 to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 to 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 to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Cited evidence records with ≥1 basis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Separate 95% CI column gives Unassisted departure-type rates in %.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no_information: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Clinical balance terminology is expanded for readability; no clinical meaning is changed.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Correct collapsed answers / eligible questions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2026-10-18T18:09:27Z</dcterms:modified>
  <cp:category/>
</cp:coreProperties>
</file>