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Agreement (95% CI)</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1152"/>
        <w:gridCol w:w="1152"/>
        <w:gridCol w:w="1944"/>
        <w:gridCol w:w="1944"/>
        <w:gridCol w:w="158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D1–D5 (510 cells)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 (100.0–100.0)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Overall (81 trials)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 (100.0–100.0)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composite reference — D1–D5 (485 cells)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difference, ARBITER − Unassisted</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 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2026-10-18T18:15:23Z</dcterms:modified>
  <cp:category/>
</cp:coreProperties>
</file>