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RoB 2 rule consistency and audit</w:t>
      </w:r>
    </w:p>
    <w:tbl xmlns:a="http://schemas.openxmlformats.org/drawingml/2006/main" xmlns:pic="http://schemas.openxmlformats.org/drawingml/2006/picture">
      <w:tblPr>
        <w:tblLayout w:type="fixed"/>
        <w:jc w:val="center"/>
        <w:tblLook w:firstRow="1" w:lastRow="0" w:firstColumn="0" w:lastColumn="0" w:noHBand="0" w:noVBand="1"/>
      </w:tblPr>
      <w:tblGrid>
        <w:gridCol w:w="4176"/>
        <w:gridCol w:w="1944"/>
        <w:gridCol w:w="1944"/>
        <w:gridCol w:w="180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95% CI (%)</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 judgements (D1–D5)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judgement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Evidence and audit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Cited evidence records with ≥1 basis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Separate 95% CI column gives Unassisted departure-type rates in %. Domain consistency for ARBITER refers to proposals; recorded overrides are separate. Departure = violation + invalid path. One Unassisted domain has no evaluable label/answer set and is excluded (509 evaluable). Overall consistency is exact worst-domain agreement; permitted escalations are separate.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2026-10-18T18:15:23Z</dcterms:modified>
  <cp:category/>
</cp:coreProperties>
</file>