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Reliability of the reference standard (95% CI)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88"/>
        <w:gridCol w:w="1992"/>
        <w:gridCol w:w="1992"/>
        <w:gridCol w:w="1992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AC2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Raw agreement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Between adjudicators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(0.61–0.77)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(74.0%) (68.2–79.9)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Preferred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(0.77–0.89)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(83.8%) (78.6–88.9)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−0.06 (−0.18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(22.1%) (15.8–28.5)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(0.57–0.74)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(69.5%) (62.7–76.0)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(0.18–0.38)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(44.8%) (38.1–51.6)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 (0.04–0.24)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(27.3%) (20.4–34.3)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(0.73–0.85)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(77.9%) (71.7–84.0)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(0.37–0.53)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(49.4%) (42.2–56.5)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disputed cells, selected because at least one Sonnet arm differed from Published. These comparisons cannot estimate agreement or published-label accuracy in the full benchmark. Independent judgements preceded blinded label presentation; preferred judgements selected among the three offered labels. Linearly weighted Cohen’s κ; Gwet’s AC2; raw agreement as n/N (%) with CI bounds in %.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2026-10-18T18:15:24Z</dcterms:modified>
  <cp:category/>
</cp:coreProperties>
</file>