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d6bc0427f4ae1b62f36b1141b02008da0f1b7c7"/>
    <w:p>
      <w:pPr>
        <w:pStyle w:val="Title"/>
      </w:pPr>
      <w:r>
        <w:rPr>
          <w:b/>
          <w:sz w:val="28"/>
        </w:rPr>
        <w:t xml:space="preserve">ARBITER: an evidence-linked workflow for AI-assisted risk-of-bias assessment</w:t>
      </w:r>
    </w:p>
    <w:bookmarkStart w:id="9" w:name="front-matter-notes"/>
    <w:p>
      <w:pPr>
        <w:pStyle w:val="FirstParagraph"/>
      </w:pPr>
      <w:r>
        <w:t xml:space="preserve">Article type: Research and Applications. Main displays comprise five figures and three tables.</w:t>
      </w:r>
    </w:p>
    <w:p>
      <w:pPr>
        <w:pStyle w:val="BodyText"/>
      </w:pPr>
      <w:r>
        <w:t xml:space="preserve">Author: Ali Salman, MBBS. Affiliations: [Department, institution, city and country]. Correspondence: [Postal address, email and telephone]. [Confirm complete author list and order].</w:t>
      </w:r>
    </w:p>
    <w:p>
      <w:pPr>
        <w:pStyle w:val="BodyText"/>
      </w:pPr>
      <w:r>
        <w:t xml:space="preserve">Keywords: artificial intelligence; risk of bias; evidence synthesis; reproducibility; clinical trials.</w:t>
      </w:r>
    </w:p>
    <w:p>
      <w:r>
        <w:t>Word counts: main text 3340; structured abstract 217.</w:t>
      </w:r>
    </w:p>
    <w:bookmarkEnd w:id="9"/>
    <w:bookmarkStart w:id="15" w:name="abstract"/>
    <w:p>
      <w:bookmarkStart w:id="64" w:name="loc_5"/>
      <w:pPr>
        <w:pStyle w:val="Heading1"/>
        <w:pageBreakBefore/>
        <w:spacing w:line="240" w:lineRule="auto"/>
      </w:pPr>
      <w:r>
        <w:rPr>
          <w:b/>
        </w:rPr>
        <w:t>ABSTRACT</w:t>
      </w:r>
      <w:bookmarkEnd w:id="64"/>
    </w:p>
    <w:bookmarkStart w:id="10" w:name="objective"/>
    <w:p>
      <w:pPr>
        <w:pStyle w:val="FirstParagraph"/>
        <w:spacing w:after="80"/>
      </w:pPr>
      <w:r>
        <w:rPr>
          <w:b/>
        </w:rPr>
        <w:t xml:space="preserve">Objective. </w:t>
      </w:r>
      <w:r>
        <w:t xml:space="preserve">To compare an evidence-linked RoB 2 workflow with minimal prompting using the same reported model identifier, and evaluate agreement and inspectability.</w:t>
      </w:r>
    </w:p>
    <w:bookmarkEnd w:id="10"/>
    <w:bookmarkStart w:id="11" w:name="materials-and-methods"/>
    <w:p>
      <w:pPr>
        <w:pStyle w:val="FirstParagraph"/>
        <w:spacing w:after="80"/>
      </w:pPr>
      <w:r>
        <w:rPr>
          <w:b/>
        </w:rPr>
        <w:t xml:space="preserve">Materials and Methods. </w:t>
      </w:r>
      <w:r>
        <w:t xml:space="preserve">ARBITER records sources, selected evidence and signalling answers; software derives proposed ratings. ARBITER and minimal prompting (Unassisted) assessed identical supplied documents for 102 trials from 16 reviews. We compared published labels, independent expert ratings and conditional blinded label choices. Paired intervals resampled trials within fixed reviews.</w:t>
      </w:r>
    </w:p>
    <w:bookmarkEnd w:id="11"/>
    <w:bookmarkStart w:id="12" w:name="results"/>
    <w:p>
      <w:pPr>
        <w:pStyle w:val="FirstParagraph"/>
        <w:spacing w:after="80"/>
      </w:pPr>
      <w:r>
        <w:rPr>
          <w:b/>
        </w:rPr>
        <w:t xml:space="preserve">Results. </w:t>
      </w:r>
      <w:r>
        <w:t xml:space="preserve">Against published labels, ARBITER minus Unassisted exact agreement was −1.8 percentage points (95% CI, −5.1 to 1.6). Agreement with Expert 1 was 371/510 (72.7%) versus 332/510 (65.1%), a gain of 7.6 points (95% CI, 5.1–10.2); with Expert 2, it was 433/510 (84.9%) versus 400/510 (78.4%), a gain of 6.5 (3.5–9.4). Among 80 workflow disagreements, experts agreed on 60 blinded choices and split on 20; 53/60 agreed choices matched ARBITER (88%; 95% CI, 80–96%). All 510 adopted ARBITER domain ratings conformed to the decision rules. Median runtime was 7.6 versus 0.5 minutes per trial.</w:t>
      </w:r>
    </w:p>
    <w:bookmarkEnd w:id="12"/>
    <w:bookmarkStart w:id="13" w:name="discussion"/>
    <w:p>
      <w:pPr>
        <w:pStyle w:val="FirstParagraph"/>
        <w:spacing w:after="80"/>
      </w:pPr>
      <w:r>
        <w:rPr>
          <w:b/>
        </w:rPr>
        <w:t xml:space="preserve">Discussion. </w:t>
      </w:r>
      <w:r>
        <w:t xml:space="preserve">Agreement depended on the reference and domain. Structural source checks did not validate evidence support, and label choices did not evaluate reasoning. The complete-workflow comparison cannot isolate component effects or establish reviewer benefit.</w:t>
      </w:r>
    </w:p>
    <w:bookmarkEnd w:id="13"/>
    <w:bookmarkStart w:id="14" w:name="conclusion"/>
    <w:p>
      <w:pPr>
        <w:pStyle w:val="FirstParagraph"/>
        <w:spacing w:after="80"/>
      </w:pPr>
      <w:r>
        <w:rPr>
          <w:b/>
        </w:rPr>
        <w:t xml:space="preserve">Conclusion. </w:t>
      </w:r>
      <w:r>
        <w:t xml:space="preserve">In this single-run benchmark, ARBITER preserved an inspectable assessment pathway and agreed more often with both independent experts, without a clear published-label agreement advantage.</w:t>
      </w:r>
    </w:p>
    <w:bookmarkEnd w:id="14"/>
    <w:bookmarkEnd w:id="15"/>
    <w:bookmarkStart w:id="18" w:name="introduction"/>
    <w:p>
      <w:bookmarkStart w:id="70" w:name="loc_11"/>
      <w:pPr>
        <w:pStyle w:val="Heading1"/>
        <w:pageBreakBefore/>
      </w:pPr>
      <w:r>
        <w:rPr>
          <w:b/>
        </w:rPr>
        <w:t>INTRODUCTION</w:t>
      </w:r>
      <w:bookmarkEnd w:id="70"/>
    </w:p>
    <w:bookmarkStart w:id="16" w:name="background-and-significance"/>
    <w:p>
      <w:bookmarkStart w:id="71" w:name="loc_12"/>
      <w:pPr>
        <w:pStyle w:val="Heading2"/>
      </w:pPr>
      <w:r>
        <w:rPr>
          <w:b/>
        </w:rPr>
        <w:t>Background and significance</w:t>
      </w:r>
      <w:bookmarkEnd w:id="71"/>
    </w:p>
    <w:p>
      <w:pPr>
        <w:pStyle w:val="FirstParagraph"/>
      </w:pPr>
      <w:r>
        <w:t xml:space="preserve">Risk-of-bias assessment requires reviewers to connect a judgment to the particular trial result and evidence that justify it. RoB 2 formalizes the transition from signalling answers to proposed ratings,[1] but reaching those answers still requires interpretation across reports, registries and supporting documents. In a cross-sectional exercise involving four raters and 70 trial outcomes, overall Fleiss κ was 0.16 (95% CI, 0.08–0.24), and assessment took a mean 28 minutes per outcome.[2] Agreement can also change as teams develop shared conventions. In one multiple-sclerosis review, calibration and review-specific signalling-question instructions preceded an increase in overall κ from −0.15 during calibration to 0.11 for the first five studies assessed with the instructions and 0.42 for the remaining 11.[3] That sequential, single-team evaluation cannot separate instruction effects from discussion, practice or study order. Together, these findings identify interpretation and implementation as consequential parts of appraisal, even with a structured instrument.</w:t>
      </w:r>
    </w:p>
    <w:p>
      <w:pPr>
        <w:pStyle w:val="BodyText"/>
      </w:pPr>
      <w:r>
        <w:t xml:space="preserve">Automated assistance must therefore preserve the connection between a result-specific judgment and its evidential basis. In living evidence synthesis, newly available trials and supporting documents require repeated appraisal; retaining the basis of earlier judgments could help reviewers revisit them when evidence changes, consistent with frameworks integrating automation and human oversight.[4] RobotReviewer paired classifications with supporting sentences for the earlier Cochrane instrument, evaluating text relevance separately from classification.[5] ROBOTO2 combines document parsing, retrieved passages, signalling answers and editable RoB 2 assessments;[6] RoBGuard adds multimodal parsing and collaboration among model roles.[7] These systems make evidence available for inspection, but a source-linked quotation can be authentic yet irrelevant to the assessed result, and a plausible rating can conflict with the answers offered to justify it. Source fidelity, support for an answer and conformity to decision rules therefore require distinct evaluation.</w:t>
      </w:r>
    </w:p>
    <w:bookmarkEnd w:id="16"/>
    <w:bookmarkStart w:id="17" w:name="objective-1"/>
    <w:p>
      <w:bookmarkStart w:id="74" w:name="loc_15"/>
      <w:pPr>
        <w:pStyle w:val="Heading2"/>
      </w:pPr>
      <w:r>
        <w:rPr>
          <w:b/>
        </w:rPr>
        <w:t>Objective</w:t>
      </w:r>
      <w:bookmarkEnd w:id="74"/>
    </w:p>
    <w:p>
      <w:pPr>
        <w:pStyle w:val="FirstParagraph"/>
      </w:pPr>
      <w:r>
        <w:t xml:space="preserve">We developed the Agentic Risk of Bias Inference Tool for Evidence Reviews (ARBITER) to preserve this pathway for experienced evidence reviewers. The model selects evidence and interprets it; software applies decision rules to the recorded answers. We asked whether the complete workflow was associated with different agreement from minimal prompting, and whether that comparison depended on the human reference. We used the same reported model identifier, comparable configuration and identical supplied trial documents to examine agreement with published review labels, independently recorded expert ratings and subsequent blinded label choices, alongside answer-level variation, rule conformance, source records and computational burden.</w:t>
      </w:r>
    </w:p>
    <w:bookmarkEnd w:id="17"/>
    <w:bookmarkEnd w:id="18"/>
    <w:bookmarkStart w:id="26" w:name="materials-and-methods-1"/>
    <w:p>
      <w:bookmarkStart w:id="76" w:name="loc_17"/>
      <w:pPr>
        <w:pStyle w:val="Heading1"/>
      </w:pPr>
      <w:r>
        <w:rPr>
          <w:b/>
        </w:rPr>
        <w:t>MATERIALS AND METHODS</w:t>
      </w:r>
      <w:bookmarkEnd w:id="76"/>
    </w:p>
    <w:bookmarkStart w:id="19" w:name="system-design"/>
    <w:p>
      <w:bookmarkStart w:id="77" w:name="loc_18"/>
      <w:pPr>
        <w:pStyle w:val="Heading2"/>
      </w:pPr>
      <w:r>
        <w:rPr>
          <w:b/>
        </w:rPr>
        <w:t>System design</w:t>
      </w:r>
      <w:bookmarkEnd w:id="77"/>
    </w:p>
    <w:p>
      <w:pPr>
        <w:pStyle w:val="FirstParagraph"/>
      </w:pPr>
      <w:r>
        <w:t xml:space="preserve">ARBITER separates evidence interpretation from rating derivation (Figure 1). The model identifies the result, examines documents and answers the signalling questions. Software checks permissible answers, required question paths and evidence references, then computes the proposed domain ratings. An interactive reviewer can approve the proposed target before assessment; our automated harness accepted it unchanged.</w:t>
      </w:r>
    </w:p>
    <w:p>
      <w:pPr>
        <w:pStyle w:val="BodyText"/>
      </w:pPr>
      <w:r>
        <w:t xml:space="preserve">ARBITER retains source documents and their extracted text. Reading and search tools return passage references. The model selects a passage using those references, page/line ranges or copied text as a locator. Copied text must match the captured source; unmatched or ambiguous selections are rejected. The accepted quotation is stored from the actual captured source slice, with its page and character offsets. Thus, the tool constrains fabricated quotation wording within this pathway, while errors in document extraction, incomplete selection and inappropriate interpretation remain possible. Visual evidence instead links a rendered page and selected region to a model-written transcription, which is not independently verified.</w:t>
      </w:r>
    </w:p>
    <w:p>
      <w:pPr>
        <w:pStyle w:val="BodyText"/>
      </w:pPr>
      <w:r>
        <w:t xml:space="preserve">Each answer retains evidence and justification, with provision for uncertainty and counterevidence. The algorithm-derived proposal and adopted rating are separate: adopting a different rating requires a rationale and supporting evidence linked to the answers. We checked both. Exported HTML reports and audit files retain the assessment pathway. Runtime text matching, assessment-file verification and our structural source-provenance audit are separate checks; the audit did not re-extract quotations independently or test whether they justified the answers. Figure 2 illustrates the AVATAR assessment of all-cause death after early surgery versus watchful waiting in asymptomatic severe aortic stenosis, with its complete trace in the supplement. The case illustrates the workflow rather than typical performance; its stored documents did not establish a dated analysis plan for the assessed result.</w:t>
      </w:r>
    </w:p>
    <w:bookmarkEnd w:id="19"/>
    <w:bookmarkStart w:id="22" w:name="benchmark-and-assessment-arms"/>
    <w:p>
      <w:bookmarkStart w:id="81" w:name="loc_22"/>
      <w:pPr>
        <w:pStyle w:val="Heading2"/>
      </w:pPr>
      <w:r>
        <w:rPr>
          <w:b/>
        </w:rPr>
        <w:t>Benchmark and assessment arms</w:t>
      </w:r>
      <w:bookmarkEnd w:id="81"/>
    </w:p>
    <w:p>
      <w:pPr>
        <w:pStyle w:val="FirstParagraph"/>
      </w:pPr>
      <w:r>
        <w:t xml:space="preserve">We selected reviews purposively across 15 medical specialties. We searched Europe PMC for 2025–2026 meta-analyses of randomized trials, prioritizing journal standing and citation counts and requiring explicit RoB 2 use with extractable trial-level domain labels. Search dates and ranking records are unavailable. Within reviews, we took up to seven obtainable eligible trials in table order, replacing unavailable reports with the next eligible trial and removing duplicates. The source set comprised 105 trials from 16 reviews; we excluded three trials outside the supported design scope, leaving 102. The supplementary benchmark table documents reviews, specialties and source availability.</w:t>
      </w:r>
    </w:p>
    <w:p>
      <w:pPr>
        <w:pStyle w:val="BodyText"/>
      </w:pPr>
      <w:r>
        <w:t xml:space="preserve">Initial targets followed trial-primary outcomes. Before the runs, 43 of 105 targets were revised toward the results underlying published labels. Final prompts specified outcome, comparison, time point and numerical result. Alignment with published labels remained partial, inferred, different or indeterminate for some targets, and some labels covered several outcomes. We retained all domain cells and considered this uncertainty qualitatively.</w:t>
      </w:r>
    </w:p>
    <w:p>
      <w:pPr>
        <w:pStyle w:val="BodyText"/>
      </w:pPr>
      <w:r>
        <w:t xml:space="preserve">Both arms received identical underlying trial evidence from the captured input set: articles, supplements, registry copies, protocols and analysis plans, with availability varying by trial. Unassisted received copies of registry records and acquired documents from the ARBITER run rather than newly retrieved versions. A supplied record could concern the wrong trial; sharing inputs did not establish their completeness or correctness.</w:t>
      </w:r>
    </w:p>
    <w:p>
      <w:pPr>
        <w:pStyle w:val="BodyText"/>
      </w:pPr>
      <w:r>
        <w:t>Unassisted received the task sentence and one fixed output-format sentence, without RoB 2 guidance. It could read and search local documents but could not access ARBITER’s software service, assessment instructions or the web. ARBITER additionally received packaged workflow instructions and RoB 2 guidance through an assessment skill. Structured-prompt alternatives have been evaluated elsewhere.⁠[8,9,10]</w:t>
      </w:r>
    </w:p>
    <w:p>
      <w:pPr>
        <w:pStyle w:val="BodyText"/>
      </w:pPr>
      <w:r>
        <w:t xml:space="preserve">Both arms used</w:t>
      </w:r>
      <w:r>
        <w:t xml:space="preserve"> </w:t>
      </w:r>
      <w:r>
        <w:rPr>
          <w:rStyle w:val="VerbatimChar"/>
        </w:rPr>
        <w:t xml:space="preserve">claude-sonnet-5-5</w:t>
      </w:r>
      <w:r>
        <w:t xml:space="preserve">, medium effort, in Claude Code 2.1.278, with isolated settings, external connectors and memory disabled. ARBITER ran on 12 October 2026 and Unassisted on 14 October 2026, once per trial per arm. An identical immutable model snapshot across dates was not established. The protocol permitted “Continue.” at most twice per phase without coaching. The benchmark was not used to develop the workflow. Development included ten prostate-cancer trials and synthetic diagnostic cases. Complete development-exposure history, prompt and assessment-skill selection history, and version-freeze documentation remain pending. We evaluated</w:t>
      </w:r>
      <w:r>
        <w:t xml:space="preserve"> </w:t>
      </w:r>
      <w:hyperlink r:id="rId20">
        <w:r>
          <w:rPr>
            <w:rStyle w:val="Hyperlink"/>
          </w:rPr>
          <w:t xml:space="preserve">this source revision</w:t>
        </w:r>
      </w:hyperlink>
      <w:r>
        <w:t xml:space="preserve">;</w:t>
      </w:r>
      <w:r>
        <w:t xml:space="preserve"> </w:t>
      </w:r>
      <w:hyperlink r:id="rId21">
        <w:r>
          <w:rPr>
            <w:rStyle w:val="Hyperlink"/>
          </w:rPr>
          <w:t xml:space="preserve">public ARBITER 1.0.0 source</w:t>
        </w:r>
      </w:hyperlink>
      <w:r>
        <w:t xml:space="preserve"> </w:t>
      </w:r>
      <w:r>
        <w:t xml:space="preserve">is available. eMethods describes prompts and invocation details.</w:t>
      </w:r>
    </w:p>
    <w:bookmarkEnd w:id="22"/>
    <w:bookmarkStart w:id="23" w:name="independent-expert-references"/>
    <w:p>
      <w:bookmarkStart w:id="87" w:name="loc_28"/>
      <w:pPr>
        <w:pStyle w:val="Heading2"/>
      </w:pPr>
      <w:r>
        <w:rPr>
          <w:b/>
        </w:rPr>
        <w:t>Independent expert references</w:t>
      </w:r>
      <w:bookmarkEnd w:id="87"/>
    </w:p>
    <w:p>
      <w:pPr>
        <w:pStyle w:val="FirstParagraph"/>
      </w:pPr>
      <w:r>
        <w:t xml:space="preserve">Two blinded experts, published researchers from BEACON Lab, independently assessed all five domains for every trial. A trial–domain pair constituted a cell. Each expert recorded and froze signalling answers and domain ratings before seeing offered labels, without AI assistance. Experts received the same trial materials, supplements and ClinicalTrials.gov records as the arms, the same target prompt specifying outcomes, contrasts and numerical anchors, and access to Cochrane guidance. [Pending: individual qualifications and RoB 2 experience, training/calibration and conventions for targets containing several outcomes.]</w:t>
      </w:r>
    </w:p>
    <w:p>
      <w:pPr>
        <w:pStyle w:val="BodyText"/>
      </w:pPr>
      <w:r>
        <w:t xml:space="preserve">Subsequently, each expert saw Published, Unassisted and ARBITER labels in an order randomized by cell, without source identities or rationales, and chose the most defensible label. Each then supplied a revised rating, potentially different from all offered labels, and recorded whether answers were retained or changed. We analyzed independent ratings, choices and revised ratings separately; blinded adjudication in data extraction provided a procedural precedent.[11] Completed workbooks are available in the study repository, and eMethods summarizes the sequence. [Pending: original blank assessment form.]</w:t>
      </w:r>
    </w:p>
    <w:bookmarkEnd w:id="23"/>
    <w:bookmarkStart w:id="24" w:name="outcomes"/>
    <w:p>
      <w:bookmarkStart w:id="90" w:name="loc_31"/>
      <w:pPr>
        <w:pStyle w:val="Heading2"/>
      </w:pPr>
      <w:r>
        <w:rPr>
          <w:b/>
        </w:rPr>
        <w:t>Outcomes</w:t>
      </w:r>
      <w:bookmarkEnd w:id="90"/>
    </w:p>
    <w:p>
      <w:pPr>
        <w:pStyle w:val="FirstParagraph"/>
      </w:pPr>
      <w:r>
        <w:t xml:space="preserve">We report published-label agreement first, followed by independent-expert agreement, conditional label choices, domain/answer detail and process outcomes. This order was adopted after analysis and does not imply prospective specification or a formal outcome hierarchy.</w:t>
      </w:r>
    </w:p>
    <w:p>
      <w:pPr>
        <w:pStyle w:val="BodyText"/>
      </w:pPr>
      <w:r>
        <w:t xml:space="preserve">For Published, we calculated exact agreement and paired percentage-point differences across 510 cells, followed by linearly weighted Cohen’s κ, sensitivity for Some concerns or High, and specificity; Gwet’s AC2 is supplementary. An All-Low rule described prevalence, with κ suppressed because predictions lacked variance. Missing predictions counted as disagreement. We separately compared each source with each expert’s independent ratings using exact agreement, paired differences and weighted κ. Independent reference ratings were read directly from the expert assessment records. Supporting analyses included expert-to-expert agreement, unweighted κ, confusion matrices, expert means and cells where experts agreed.</w:t>
      </w:r>
    </w:p>
    <w:p>
      <w:pPr>
        <w:pStyle w:val="BodyText"/>
      </w:pPr>
      <w:r>
        <w:t xml:space="preserve">The conditional label-choice analysis included the cells where the arms differed and both experts chose the same label. Its numerator counted agreed labels matching ARBITER. Credit followed label equality, including credit to multiple sources with the same label or neither arm if neither matched. Identical labels from all sources could not distinguish sources. Sensitivities examined each expert’s choices over all arm disagreements and counted split choices as ARBITER losses without assigning Unassisted wins. These outcomes measured label matches, not endorsement of reasoning.</w:t>
      </w:r>
    </w:p>
    <w:p>
      <w:pPr>
        <w:pStyle w:val="BodyText"/>
      </w:pPr>
      <w:r>
        <w:t xml:space="preserve">We compared signalling answers with five-level coding (yes, probably yes, no, probably no, no information) and collapsed coding that combined yes with probably yes and no with probably no, retaining no information as a separate category. Matching used trial, domain, question and explicitly named answer component, such as an outcome; undivided answers formed one component, and different named components were not pooled. Missing, inactive, inapplicable, unmatched and unresolved answers were excluded. Paired contrasts required evaluability in both arms.</w:t>
      </w:r>
    </w:p>
    <w:p>
      <w:pPr>
        <w:pStyle w:val="BodyText"/>
      </w:pPr>
      <w:r>
        <w:t xml:space="preserve">We applied official RoB 2 algorithms to each arm’s own answers, using effect of assignment for deviations from intended interventions.[1] We checked proposed and adopted ARBITER ratings separately because documented overrides were permitted. Contradictory ratings and required-question omissions were rule breaks; absent ratings and answer sets were unevaluable. A sensitivity analysis recursively resolved invalid required answers as negative or no information. Overall checks allowed escalation for multiple Some concerns domains. Process outcomes also counted required active answers citing evidence, source/location records and assessment-file integrity; none measured semantic evidence support.</w:t>
      </w:r>
    </w:p>
    <w:p>
      <w:pPr>
        <w:pStyle w:val="BodyText"/>
      </w:pPr>
      <w:r>
        <w:t xml:space="preserve">Computational runtime summed model-turn elapsed durations. Application programming interface (API) list-price equivalents used recorded tokens and fixed provider rates, with cached inputs and additional calls detailed in eMethods. Subscription-based runs did not incur these reconstructed amounts as expenditure.</w:t>
      </w:r>
    </w:p>
    <w:p>
      <w:pPr>
        <w:pStyle w:val="BodyText"/>
      </w:pPr>
      <w:r>
        <w:t xml:space="preserve">Exploratory analyses examined derived Overall ratings, disagreement severity/direction and rules-only recomputation. Overall used the worst independent domain rating without optional escalation and was not an independent sixth domain. Expert comparisons included 102 trials; Published Overall used 81 with observed labels, excluding 21 without. Directional analyses partitioned stricter or more lenient ratings than Published into expert matches to the arm, Published or neither. Rules-only recomputation replaced contradictory Unassisted ratings but retained invalid sequences and missing ratings; original disagreement sets stayed fixed, and new ties could credit both arms. Binary expert comparisons and severity strata were exploratory. Choices across all disputed cells and revised ratings were descriptive because offered labels could anchor responses.</w:t>
      </w:r>
    </w:p>
    <w:bookmarkEnd w:id="24"/>
    <w:bookmarkStart w:id="25" w:name="statistical-analysis"/>
    <w:p>
      <w:bookmarkStart w:id="98" w:name="loc_39"/>
      <w:pPr>
        <w:pStyle w:val="Heading2"/>
      </w:pPr>
      <w:r>
        <w:rPr>
          <w:b/>
        </w:rPr>
        <w:t>Statistical analysis</w:t>
      </w:r>
      <w:bookmarkEnd w:id="98"/>
    </w:p>
    <w:p>
      <w:pPr>
        <w:pStyle w:val="FirstParagraph"/>
      </w:pPr>
      <w:r>
        <w:t>We used 10,000 stratified trial-cluster bootstrap resamples (seed 20261018), sampling trials within each of 16 fixed reviews, retaining review sizes and carrying both arms and all domains together. Paired contrasts shared weights; expert means averaged expert-specific estimates within each resample. Percentile 95% CIs describe trial variation conditional on these reviews, experts and observed runs, not variation across new reviews, experts or repeated runs. We used no P values or multiplicity adjustments. TRIPOD-LLM and GRRAS informed reporting, with an accompanying item map and author-completion fields.⁠[12,13]</w:t>
      </w:r>
    </w:p>
    <w:bookmarkEnd w:id="25"/>
    <w:bookmarkEnd w:id="26"/>
    <w:bookmarkStart w:id="27" w:name="results-1"/>
    <w:p>
      <w:bookmarkStart w:id="100" w:name="loc_41"/>
      <w:pPr>
        <w:pStyle w:val="Heading1"/>
      </w:pPr>
      <w:r>
        <w:rPr>
          <w:b/>
        </w:rPr>
        <w:t>RESULTS</w:t>
      </w:r>
      <w:bookmarkEnd w:id="100"/>
    </w:p>
    <w:p>
      <w:pPr>
        <w:pStyle w:val="FirstParagraph"/>
        <w:keepNext w:val="0"/>
        <w:keepLines/>
      </w:pPr>
      <w:r>
        <w:t xml:space="preserve">The 102 included trials yielded 510 trial–domain cells, all independently assessed by both experts (Figure 3; Table 1). Published labels were Low in 427/510 cells (83.7%), compared with 277/510 (54.3%) for Expert 1 and 346/510 (67.8%) for Expert 2. An all-Low rule matched 83.7% of Published domain labels. Against Published across all 510 cells, ARBITER matched 386/510 (75.7%) and Unassisted 395/510 (77.5%), a paired difference of −1.8 points (95% CI, −5.1 to 1.6).</w:t>
      </w:r>
    </w:p>
    <w:p>
      <w:bookmarkStart w:id="102" w:name="loc_43"/>
      <w:pPr>
        <w:pStyle w:val="Heading2"/>
        <w:keepNext/>
        <w:pageBreakBefore w:val="0"/>
        <w:spacing w:line="240" w:lineRule="auto" w:after="80"/>
      </w:pPr>
      <w:r>
        <w:rPr>
          <w:b/>
        </w:rPr>
        <w:t>Table 1. Benchmark and reference context</w:t>
      </w:r>
      <w:bookmarkEnd w:id="102"/>
    </w:p>
    <w:tbl>
      <w:tblPr>
        <w:tblCellMar>
          <w:top w:w="0" w:type="dxa"/>
          <w:bottom w:w="0" w:type="dxa"/>
          <w:start w:w="60" w:type="dxa"/>
          <w:end w:w="60" w:type="dxa"/>
        </w:tblCellMar>
        <w:tblLook w:firstRow="0" w:lastRow="0" w:firstColumn="0" w:lastColumn="0" w:noHBand="0" w:noVBand="0"/>
        <w:jc w:val="center"/>
        <w:tblW w:type="dxa" w:w="9864"/>
        <w:tblLayout w:type="fixed"/>
      </w:tblPr>
      <w:tblGrid>
        <w:gridCol w:w="3354"/>
        <w:gridCol w:w="6510"/>
      </w:tblGrid>
      <w:tr>
        <w:trPr>
          <w:cantSplit/>
          <w:tblHeader/>
        </w:trPr>
        <w:tc>
          <w:tcPr>
            <w:tcW w:type="dxa" w:w="3354"/>
            <w:tcMar>
              <w:top w:type="dxa" w:w="35"/>
              <w:bottom w:type="dxa" w:w="35"/>
              <w:start w:type="dxa" w:w="70"/>
              <w:end w:type="dxa" w:w="70"/>
            </w:tcMar>
            <w:tcBorders>
              <w:top w:val="single" w:sz="6" w:color="666666"/>
              <w:bottom w:val="single" w:sz="6" w:color="666666"/>
              <w:start w:val="nil" w:sz="0" w:color="666666"/>
              <w:end w:val="nil" w:sz="0" w:color="666666"/>
            </w:tcBorders>
          </w:tcPr>
          <w:p>
            <w:pPr>
              <w:keepNext/>
              <w:spacing w:before="0" w:after="0" w:line="240" w:lineRule="auto"/>
              <w:jc w:val="start"/>
            </w:pPr>
            <w:r>
              <w:rPr>
                <w:rFonts w:ascii="Arial" w:hAnsi="Arial"/>
                <w:sz w:val="20"/>
                <w:b/>
              </w:rPr>
              <w:t xml:space="default">Characteristic</w:t>
            </w:r>
          </w:p>
        </w:tc>
        <w:tc>
          <w:tcPr>
            <w:tcW w:type="dxa" w:w="6510"/>
            <w:tcMar>
              <w:top w:type="dxa" w:w="35"/>
              <w:bottom w:type="dxa" w:w="35"/>
              <w:start w:type="dxa" w:w="70"/>
              <w:end w:type="dxa" w:w="70"/>
            </w:tcMar>
            <w:tcBorders>
              <w:top w:val="single" w:sz="6" w:color="666666"/>
              <w:bottom w:val="single" w:sz="6" w:color="666666"/>
              <w:start w:val="nil" w:sz="0" w:color="666666"/>
              <w:end w:val="nil" w:sz="0" w:color="666666"/>
            </w:tcBorders>
          </w:tcPr>
          <w:p>
            <w:pPr>
              <w:keepNext/>
              <w:spacing w:before="0" w:after="0" w:line="240" w:lineRule="auto"/>
              <w:jc w:val="start"/>
            </w:pPr>
            <w:r>
              <w:rPr>
                <w:rFonts w:ascii="Arial" w:hAnsi="Arial"/>
                <w:sz w:val="20"/>
                <w:b/>
              </w:rPr>
              <w:t xml:space="default">Value</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Trials</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102</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Meta-analyses</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16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Specialties</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15</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Trials with protocol</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26/102 (25.5%)</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Trials with registry</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73/102 (71.6%)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Trials with SAP</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22/102 (21.6%)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Trials with supplement</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69/102 (67.6%)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D1–D5: Published</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Low: 427/510 (83.7%); Some concerns: 69/510 (13.5%); High: 14/510 (2.7%)</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D1–D5: Expert 1</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Low: 277/510 (54.3%); Some concerns: 163/510 (32.0%); High: 70/510 (13.7%)</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D1–D5: Expert 2</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Low: 346/510 (67.8%); Some concerns: 131/510 (25.7%); High: 33/510 (6.5%)</w:t>
            </w:r>
          </w:p>
        </w:tc>
      </w:tr>
      <w:tr>
        <w:trPr>
          <w:cantSplit/>
        </w:trPr>
        <w:tc>
          <w:tcPr>
            <w:gridSpan w:val="2"/>
            <w:tcW w:type="dxa" w:w="9864"/>
            <w:tcMar>
              <w:top w:type="dxa" w:w="35"/>
              <w:bottom w:type="dxa" w:w="35"/>
              <w:start w:type="dxa" w:w="70"/>
              <w:end w:type="dxa" w:w="70"/>
            </w:tcMar>
            <w:tcBorders>
              <w:top w:val="nil" w:sz="0" w:color="666666"/>
              <w:bottom w:val="nil" w:sz="0" w:color="666666"/>
              <w:start w:val="nil" w:sz="0" w:color="666666"/>
              <w:end w:val="nil" w:sz="0" w:color="666666"/>
            </w:tcBorders>
          </w:tcPr>
          <w:p>
            <w:pPr>
              <w:keepNext w:val="0"/>
              <w:spacing w:before="0" w:after="0" w:line="240" w:lineRule="auto"/>
            </w:pPr>
            <w:r>
              <w:rPr>
                <w:rFonts w:ascii="Arial" w:hAnsi="Arial"/>
                <w:sz w:val="20"/>
              </w:rPr>
              <w:t xml:space="default">Reference categories are Low, Some concerns and High; each reference contributes 510 domain cells. Document counts are trials with each role recorded in the source inventory among 102 trials; roles can overlap. SAP, statistical analysis plan. Detailed distributions for all sources and derived Overall appear in the supplement.</w:t>
            </w:r>
          </w:p>
        </w:tc>
      </w:tr>
    </w:tbl>
    <w:p>
      <w:pPr>
        <w:pStyle w:val="BodyText"/>
      </w:pPr>
      <w:r>
        <w:t xml:space="preserve">Across the full cohort, ARBITER agreed more often with both independent experts (Figure 4). It matched Expert 1 in 371/510 cells (72.7%) versus 332/510 (65.1%) for Unassisted, a paired gain of 7.6 percentage points (95% CI, 5.1–10.2). Against Expert 2, agreement was 433/510 (84.9%) versus 400/510 (78.4%), a gain of 6.5 points (3.5–9.4). The experts agreed in 388/510 cells (76.1%); Published labels matched the experts in 301/510 and 362/510 cells. Weighted κ values were 0.51 and 0.69 for ARBITER, compared with 0.35 and 0.53 for Unassisted; expert-to-expert weighted κ was 0.59.</w:t>
      </w:r>
    </w:p>
    <w:p>
      <w:pPr>
        <w:pStyle w:val="BodyText"/>
        <w:keepNext w:val="0"/>
        <w:keepLines/>
      </w:pPr>
      <w:r>
        <w:t xml:space="preserve">The arms’ ratings differed in 80 cells; the experts chose the same label in 60 and split in 20. The agreed label matched ARBITER in 53/60 cells (88%; 95% CI, 80–96%) and Unassisted in 7/60 (12%); Table 2 summarizes these choices. Across all 80 disagreements, the label chosen by Expert 1 matched ARBITER in 63/80 (79%), and that chosen by Expert 2 matched ARBITER in 61/80 (76%). Counting every split choice against ARBITER gave 53/80 (66%).</w:t>
      </w:r>
    </w:p>
    <w:p>
      <w:bookmarkStart w:id="105" w:name="loc_46"/>
      <w:pPr>
        <w:pStyle w:val="Heading2"/>
        <w:keepNext/>
        <w:pageBreakBefore w:val="0"/>
        <w:spacing w:line="240" w:lineRule="auto" w:after="80"/>
      </w:pPr>
      <w:r>
        <w:rPr>
          <w:b/>
        </w:rPr>
        <w:t>Table 2. Conditional blinded-label choices and sensitivities</w:t>
      </w:r>
      <w:bookmarkEnd w:id="105"/>
    </w:p>
    <w:tbl>
      <w:tblPr>
        <w:tblCellMar>
          <w:top w:w="0" w:type="dxa"/>
          <w:bottom w:w="0" w:type="dxa"/>
          <w:start w:w="60" w:type="dxa"/>
          <w:end w:w="60" w:type="dxa"/>
        </w:tblCellMar>
        <w:tblLook w:firstRow="0" w:lastRow="0" w:firstColumn="0" w:lastColumn="0" w:noHBand="0" w:noVBand="0"/>
        <w:jc w:val="center"/>
        <w:tblW w:type="dxa" w:w="9864"/>
        <w:tblLayout w:type="fixed"/>
      </w:tblPr>
      <w:tblGrid>
        <w:gridCol w:w="3354"/>
        <w:gridCol w:w="6510"/>
      </w:tblGrid>
      <w:tr>
        <w:trPr>
          <w:cantSplit/>
          <w:tblHeader/>
        </w:trPr>
        <w:tc>
          <w:tcPr>
            <w:tcW w:type="dxa" w:w="3354"/>
            <w:tcMar>
              <w:top w:type="dxa" w:w="35"/>
              <w:bottom w:type="dxa" w:w="35"/>
              <w:start w:type="dxa" w:w="70"/>
              <w:end w:type="dxa" w:w="70"/>
            </w:tcMar>
            <w:tcBorders>
              <w:top w:val="single" w:sz="6" w:color="666666"/>
              <w:bottom w:val="single" w:sz="6" w:color="666666"/>
              <w:start w:val="nil" w:sz="0" w:color="666666"/>
              <w:end w:val="nil" w:sz="0" w:color="666666"/>
            </w:tcBorders>
          </w:tcPr>
          <w:p>
            <w:pPr>
              <w:keepNext/>
              <w:spacing w:before="0" w:after="0" w:line="240" w:lineRule="auto"/>
              <w:jc w:val="start"/>
            </w:pPr>
            <w:r>
              <w:rPr>
                <w:rFonts w:ascii="Arial" w:hAnsi="Arial"/>
                <w:sz w:val="20"/>
                <w:b/>
              </w:rPr>
              <w:t xml:space="default">Population</w:t>
            </w:r>
          </w:p>
        </w:tc>
        <w:tc>
          <w:tcPr>
            <w:tcW w:type="dxa" w:w="6510"/>
            <w:tcMar>
              <w:top w:type="dxa" w:w="35"/>
              <w:bottom w:type="dxa" w:w="35"/>
              <w:start w:type="dxa" w:w="70"/>
              <w:end w:type="dxa" w:w="70"/>
            </w:tcMar>
            <w:tcBorders>
              <w:top w:val="single" w:sz="6" w:color="666666"/>
              <w:bottom w:val="single" w:sz="6" w:color="666666"/>
              <w:start w:val="nil" w:sz="0" w:color="666666"/>
              <w:end w:val="nil" w:sz="0" w:color="666666"/>
            </w:tcBorders>
          </w:tcPr>
          <w:p>
            <w:pPr>
              <w:keepNext/>
              <w:spacing w:before="0" w:after="0" w:line="240" w:lineRule="auto"/>
              <w:jc w:val="end"/>
            </w:pPr>
            <w:r>
              <w:rPr>
                <w:rFonts w:ascii="Arial" w:hAnsi="Arial"/>
                <w:sz w:val="20"/>
                <w:b/>
              </w:rPr>
              <w:t xml:space="default">ARBITER, No./total (%) (95% CI)</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Agreed choices</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53/60 (88%; 80–96)</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Expert 1</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63/80 (79%; 70–87)</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Expert 2</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61/80 (76%; 68–85)</w:t>
            </w:r>
          </w:p>
        </w:tc>
      </w:tr>
      <w:tr>
        <w:trPr>
          <w:cantSplit/>
        </w:trPr>
        <w:tc>
          <w:tcPr>
            <w:tcW w:type="dxa" w:w="3354"/>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All splits counted against ARBITER</w:t>
            </w:r>
          </w:p>
        </w:tc>
        <w:tc>
          <w:tcPr>
            <w:tcW w:type="dxa" w:w="6510"/>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53/80 (66%; 58–75)</w:t>
            </w:r>
          </w:p>
        </w:tc>
      </w:tr>
      <w:tr>
        <w:trPr>
          <w:cantSplit/>
        </w:trPr>
        <w:tc>
          <w:tcPr>
            <w:gridSpan w:val="2"/>
            <w:tcW w:type="dxa" w:w="9864"/>
            <w:tcMar>
              <w:top w:type="dxa" w:w="35"/>
              <w:bottom w:type="dxa" w:w="35"/>
              <w:start w:type="dxa" w:w="70"/>
              <w:end w:type="dxa" w:w="70"/>
            </w:tcMar>
            <w:tcBorders>
              <w:top w:val="nil" w:sz="0" w:color="666666"/>
              <w:bottom w:val="nil" w:sz="0" w:color="666666"/>
              <w:start w:val="nil" w:sz="0" w:color="666666"/>
              <w:end w:val="nil" w:sz="0" w:color="666666"/>
            </w:tcBorders>
          </w:tcPr>
          <w:p>
            <w:pPr>
              <w:keepNext w:val="0"/>
              <w:spacing w:before="0" w:after="0" w:line="240" w:lineRule="auto"/>
            </w:pPr>
            <w:r>
              <w:rPr>
                <w:rFonts w:ascii="Arial" w:hAnsi="Arial"/>
                <w:sz w:val="20"/>
              </w:rPr>
              <w:t xml:space="default">Conditional blinded-label choice evaluation includes 80 arm-discordant cells and the 60 for which the experts made an agreed choice; 20 choices split. Expert-specific sensitivities use all 80. The final row counts all 20 splits against ARBITER by assumption, without assigning Unassisted wins. Expert 1 chose neither arm in 4/80 cells; this is distinct from the split-loss assumption. CI, 95% confidence interval; 10,000 percentile bootstrap replicates, trials resampled within meta-analysis; seed 20261018.</w:t>
            </w:r>
          </w:p>
        </w:tc>
      </w:tr>
    </w:tbl>
    <w:p>
      <w:pPr>
        <w:pStyle w:val="BodyText"/>
      </w:pPr>
      <w:r>
        <w:t xml:space="preserve">Agreement gains varied by domain, alongside disagreement between experts. Selection of the reported result (D5) had the largest observed gains: 19.6 points (95% CI, 11.8–27.5) and 11.8 (2.9–20.6) against Experts 1 and 2. For missing outcome data (D3), ARBITER matched 43/102 ratings from Expert 1 (42.2%) and 80/102 from Expert 2 (78.4%); the experts agreed in 54/102 cells.</w:t>
      </w:r>
    </w:p>
    <w:p>
      <w:pPr>
        <w:pStyle w:val="BodyText"/>
      </w:pPr>
      <w:r>
        <w:t xml:space="preserve">Signalling-answer agreement depended on whether probable and definite answers were distinguished (Figure 5). In D3 against Expert 1, the five-level paired ARBITER minus Unassisted difference was −10.3 points (95% CI, −17.2 to −3.2), whereas the collapsed difference was +8.5 (3.5–13.7), both using 165 paired components. In D5, collapsed gains were +11.3 points against Expert 1, using 301 paired components, and +3.7 (−0.3 to 7.4) against Expert 2, using 300. The supplement reports complete question-level results and source-specific absolute rates, whose eligible denominators may differ from those of the paired contrasts. Exploratory rules-only recomputation changed 26 Unassisted labels while retaining their recorded answers, invalid answer sequences and missingness.</w:t>
      </w:r>
    </w:p>
    <w:p>
      <w:pPr>
        <w:pStyle w:val="BodyText"/>
        <w:keepNext w:val="0"/>
        <w:keepLines/>
      </w:pPr>
      <w:r>
        <w:t xml:space="preserve">All 510 adopted ARBITER domain outputs conformed to the algorithms, with no recorded domain overrides (Table 3). Proposed ratings are determined algorithmically; the absence of overrides and conformance of adopted ratings were observations in this benchmark. Unassisted had rule breaks in 65/509 evaluable domain outputs: 26 contradictory ratings and 39 required-question omissions; one cell was unevaluable. All 1538 active required answers cited a passage or image. All 1407/1407 text spans and 14 image records passed source-provenance checks, and all 102 exported assessment records passed completeness and consistency checks. These audits counted different objects and did not establish whether the cited evidence supported the answers.</w:t>
      </w:r>
    </w:p>
    <w:p>
      <w:bookmarkStart w:id="109" w:name="loc_50"/>
      <w:pPr>
        <w:pStyle w:val="Heading2"/>
        <w:keepNext/>
        <w:pageBreakBefore w:val="0"/>
        <w:spacing w:line="240" w:lineRule="auto" w:after="80"/>
      </w:pPr>
      <w:r>
        <w:rPr>
          <w:b/>
        </w:rPr>
        <w:t>Table 3. Process checks and computational resources</w:t>
      </w:r>
      <w:bookmarkEnd w:id="109"/>
    </w:p>
    <w:tbl>
      <w:tblPr>
        <w:tblCellMar>
          <w:top w:w="0" w:type="dxa"/>
          <w:bottom w:w="0" w:type="dxa"/>
          <w:start w:w="60" w:type="dxa"/>
          <w:end w:w="60" w:type="dxa"/>
        </w:tblCellMar>
        <w:tblLook w:firstRow="0" w:lastRow="0" w:firstColumn="0" w:lastColumn="0" w:noHBand="0" w:noVBand="0"/>
        <w:jc w:val="center"/>
        <w:tblW w:type="dxa" w:w="9864"/>
        <w:tblLayout w:type="fixed"/>
      </w:tblPr>
      <w:tblGrid>
        <w:gridCol w:w="3817"/>
        <w:gridCol w:w="1587"/>
        <w:gridCol w:w="2098"/>
        <w:gridCol w:w="2362"/>
      </w:tblGrid>
      <w:tr>
        <w:trPr>
          <w:cantSplit/>
          <w:tblHeader/>
        </w:trPr>
        <w:tc>
          <w:tcPr>
            <w:tcW w:type="dxa" w:w="3817"/>
            <w:tcMar>
              <w:top w:type="dxa" w:w="35"/>
              <w:bottom w:type="dxa" w:w="35"/>
              <w:start w:type="dxa" w:w="70"/>
              <w:end w:type="dxa" w:w="70"/>
            </w:tcMar>
            <w:tcBorders>
              <w:top w:val="single" w:sz="6" w:color="666666"/>
              <w:bottom w:val="single" w:sz="6" w:color="666666"/>
              <w:start w:val="nil" w:sz="0" w:color="666666"/>
              <w:end w:val="nil" w:sz="0" w:color="666666"/>
            </w:tcBorders>
          </w:tcPr>
          <w:p>
            <w:pPr>
              <w:keepNext/>
              <w:spacing w:before="0" w:after="0" w:line="240" w:lineRule="auto"/>
              <w:jc w:val="start"/>
            </w:pPr>
            <w:r>
              <w:rPr>
                <w:rFonts w:ascii="Arial" w:hAnsi="Arial"/>
                <w:sz w:val="20"/>
                <w:b/>
              </w:rPr>
              <w:t xml:space="default">Measure</w:t>
            </w:r>
          </w:p>
        </w:tc>
        <w:tc>
          <w:tcPr>
            <w:tcW w:type="dxa" w:w="1587"/>
            <w:tcMar>
              <w:top w:type="dxa" w:w="35"/>
              <w:bottom w:type="dxa" w:w="35"/>
              <w:start w:type="dxa" w:w="70"/>
              <w:end w:type="dxa" w:w="70"/>
            </w:tcMar>
            <w:tcBorders>
              <w:top w:val="single" w:sz="6" w:color="666666"/>
              <w:bottom w:val="single" w:sz="6" w:color="666666"/>
              <w:start w:val="nil" w:sz="0" w:color="666666"/>
              <w:end w:val="nil" w:sz="0" w:color="666666"/>
            </w:tcBorders>
          </w:tcPr>
          <w:p>
            <w:pPr>
              <w:keepNext/>
              <w:spacing w:before="0" w:after="0" w:line="240" w:lineRule="auto"/>
              <w:jc w:val="end"/>
            </w:pPr>
            <w:r>
              <w:rPr>
                <w:rFonts w:ascii="Arial" w:hAnsi="Arial"/>
                <w:sz w:val="20"/>
                <w:b/>
              </w:rPr>
              <w:t xml:space="default">ARBITER</w:t>
            </w:r>
          </w:p>
        </w:tc>
        <w:tc>
          <w:tcPr>
            <w:tcW w:type="dxa" w:w="2098"/>
            <w:tcMar>
              <w:top w:type="dxa" w:w="35"/>
              <w:bottom w:type="dxa" w:w="35"/>
              <w:start w:type="dxa" w:w="70"/>
              <w:end w:type="dxa" w:w="70"/>
            </w:tcMar>
            <w:tcBorders>
              <w:top w:val="single" w:sz="6" w:color="666666"/>
              <w:bottom w:val="single" w:sz="6" w:color="666666"/>
              <w:start w:val="nil" w:sz="0" w:color="666666"/>
              <w:end w:val="nil" w:sz="0" w:color="666666"/>
            </w:tcBorders>
          </w:tcPr>
          <w:p>
            <w:pPr>
              <w:keepNext/>
              <w:spacing w:before="0" w:after="0" w:line="240" w:lineRule="auto"/>
              <w:jc w:val="end"/>
            </w:pPr>
            <w:r>
              <w:rPr>
                <w:rFonts w:ascii="Arial" w:hAnsi="Arial"/>
                <w:sz w:val="20"/>
                <w:b/>
              </w:rPr>
              <w:t xml:space="default">Unassisted</w:t>
            </w:r>
          </w:p>
        </w:tc>
        <w:tc>
          <w:tcPr>
            <w:tcW w:type="dxa" w:w="2362"/>
            <w:tcMar>
              <w:top w:type="dxa" w:w="35"/>
              <w:bottom w:type="dxa" w:w="35"/>
              <w:start w:type="dxa" w:w="70"/>
              <w:end w:type="dxa" w:w="70"/>
            </w:tcMar>
            <w:tcBorders>
              <w:top w:val="single" w:sz="6" w:color="666666"/>
              <w:bottom w:val="single" w:sz="6" w:color="666666"/>
              <w:start w:val="nil" w:sz="0" w:color="666666"/>
              <w:end w:val="nil" w:sz="0" w:color="666666"/>
            </w:tcBorders>
          </w:tcPr>
          <w:p>
            <w:pPr>
              <w:keepNext/>
              <w:spacing w:before="0" w:after="0" w:line="240" w:lineRule="auto"/>
              <w:jc w:val="end"/>
            </w:pPr>
            <w:r>
              <w:rPr>
                <w:rFonts w:ascii="Arial" w:hAnsi="Arial"/>
                <w:sz w:val="20"/>
                <w:b/>
              </w:rPr>
              <w:t xml:space="default">Paired mean difference (95% CI)</w:t>
            </w:r>
          </w:p>
        </w:tc>
      </w:tr>
      <w:tr>
        <w:trPr>
          <w:cantSplit/>
        </w:trPr>
        <w:tc>
          <w:tcPr>
            <w:gridSpan w:val="4"/>
            <w:tcW w:type="dxa" w:w="9864"/>
            <w:tcMar>
              <w:top w:type="dxa" w:w="35"/>
              <w:bottom w:type="dxa" w:w="35"/>
              <w:start w:type="dxa" w:w="70"/>
              <w:end w:type="dxa" w:w="70"/>
            </w:tcMar>
            <w:tcBorders>
              <w:top w:val="single" w:sz="6" w:color="666666"/>
              <w:bottom w:val="nil" w:sz="0" w:color="666666"/>
              <w:start w:val="nil" w:sz="0" w:color="666666"/>
              <w:end w:val="nil" w:sz="0" w:color="666666"/>
            </w:tcBorders>
            <w:shd w:fill="F4F4F4"/>
          </w:tcPr>
          <w:p>
            <w:pPr>
              <w:keepNext/>
              <w:spacing w:before="0" w:after="0" w:line="240" w:lineRule="auto"/>
            </w:pPr>
            <w:r>
              <w:rPr>
                <w:rFonts w:ascii="Arial" w:hAnsi="Arial"/>
                <w:sz w:val="20"/>
                <w:b/>
              </w:rPr>
              <w:t xml:space="default">A. Rule conformance</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Domain outputs reproduced from proposals</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510/510 (100.0%)</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Not available</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Rating contradicts its own answers</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0 by design</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26/509 (5.1%; 3.3–6.9)</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Required question skipped</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0 by design</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39/509 (7.7%; 5.7–10.0)</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Any rule break</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0 by design</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65/509 (12.8%; 10.0–15.6)</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w:t>
            </w:r>
          </w:p>
        </w:tc>
      </w:tr>
      <w:tr>
        <w:trPr>
          <w:cantSplit/>
        </w:trPr>
        <w:tc>
          <w:tcPr>
            <w:gridSpan w:val="4"/>
            <w:tcW w:type="dxa" w:w="9864"/>
            <w:tcMar>
              <w:top w:type="dxa" w:w="35"/>
              <w:bottom w:type="dxa" w:w="35"/>
              <w:start w:type="dxa" w:w="70"/>
              <w:end w:type="dxa" w:w="70"/>
            </w:tcMar>
            <w:tcBorders>
              <w:top w:val="single" w:sz="6" w:color="666666"/>
              <w:bottom w:val="nil" w:sz="0" w:color="666666"/>
              <w:start w:val="nil" w:sz="0" w:color="666666"/>
              <w:end w:val="nil" w:sz="0" w:color="666666"/>
            </w:tcBorders>
            <w:shd w:fill="F4F4F4"/>
          </w:tcPr>
          <w:p>
            <w:pPr>
              <w:keepNext/>
              <w:spacing w:before="0" w:after="0" w:line="240" w:lineRule="auto"/>
            </w:pPr>
            <w:r>
              <w:rPr>
                <w:rFonts w:ascii="Arial" w:hAnsi="Arial"/>
                <w:sz w:val="20"/>
                <w:b/>
              </w:rPr>
              <w:t xml:space="default">B. Structural record checks</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Answers citing ≥1 passage or image</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1,538/1,538 (100.0%)</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Not available</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Quoted text linked to its source</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1,407/1,407 (100.0%)</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Not available</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w:t>
            </w:r>
          </w:p>
        </w:tc>
      </w:tr>
      <w:tr>
        <w:trPr>
          <w:cantSplit/>
        </w:trPr>
        <w:tc>
          <w:tcPr>
            <w:tcW w:type="dxa" w:w="3817"/>
            <w:tcMar>
              <w:top w:type="dxa" w:w="35"/>
              <w:bottom w:type="dxa" w:w="35"/>
              <w:start w:type="dxa" w:w="70"/>
              <w:end w:type="dxa" w:w="90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Image regions linked to their page</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14/14 (100%)</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Not available</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Audit file passes the independent verifier</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102/102 (100.0%)</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Not available</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w:t>
            </w:r>
          </w:p>
        </w:tc>
      </w:tr>
      <w:tr>
        <w:trPr>
          <w:cantSplit/>
        </w:trPr>
        <w:tc>
          <w:tcPr>
            <w:gridSpan w:val="4"/>
            <w:tcW w:type="dxa" w:w="9864"/>
            <w:tcMar>
              <w:top w:type="dxa" w:w="35"/>
              <w:bottom w:type="dxa" w:w="35"/>
              <w:start w:type="dxa" w:w="70"/>
              <w:end w:type="dxa" w:w="70"/>
            </w:tcMar>
            <w:tcBorders>
              <w:top w:val="single" w:sz="6" w:color="666666"/>
              <w:bottom w:val="nil" w:sz="0" w:color="666666"/>
              <w:start w:val="nil" w:sz="0" w:color="666666"/>
              <w:end w:val="nil" w:sz="0" w:color="666666"/>
            </w:tcBorders>
            <w:shd w:fill="F4F4F4"/>
          </w:tcPr>
          <w:p>
            <w:pPr>
              <w:keepNext/>
              <w:spacing w:before="0" w:after="0" w:line="240" w:lineRule="auto"/>
            </w:pPr>
            <w:r>
              <w:rPr>
                <w:rFonts w:ascii="Arial" w:hAnsi="Arial"/>
                <w:sz w:val="20"/>
                <w:b/>
              </w:rPr>
              <w:t xml:space="default">C. Computational resources</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Runtime (minutes/trial), median (IQR)</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7.6 (6.1–10.5)</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0.5 (0.4–0.5)</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11.0 (8.4–14.1)</w:t>
            </w:r>
          </w:p>
        </w:tc>
      </w:tr>
      <w:tr>
        <w:trPr>
          <w:cantSplit/>
        </w:trPr>
        <w:tc>
          <w:tcPr>
            <w:tcW w:type="dxa" w:w="381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start"/>
            </w:pPr>
            <w:r>
              <w:rPr>
                <w:rFonts w:ascii="Arial" w:hAnsi="Arial"/>
                <w:sz w:val="20"/>
              </w:rPr>
              <w:t xml:space="default">API list-price equivalent (US$/trial), median (IQR)</w:t>
            </w:r>
          </w:p>
        </w:tc>
        <w:tc>
          <w:tcPr>
            <w:tcW w:type="dxa" w:w="1587"/>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3.78 (3.46–4.10)</w:t>
            </w:r>
          </w:p>
        </w:tc>
        <w:tc>
          <w:tcPr>
            <w:tcW w:type="dxa" w:w="2098"/>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0.09 (0.07–0.13)</w:t>
            </w:r>
          </w:p>
        </w:tc>
        <w:tc>
          <w:tcPr>
            <w:tcW w:type="dxa" w:w="2362"/>
            <w:tcMar>
              <w:top w:type="dxa" w:w="35"/>
              <w:bottom w:type="dxa" w:w="35"/>
              <w:start w:type="dxa" w:w="70"/>
              <w:end w:type="dxa" w:w="70"/>
            </w:tcMar>
            <w:tcBorders>
              <w:top w:val="nil" w:sz="0" w:color="666666"/>
              <w:bottom w:val="nil" w:sz="0" w:color="666666"/>
              <w:start w:val="nil" w:sz="0" w:color="666666"/>
              <w:end w:val="nil" w:sz="0" w:color="666666"/>
            </w:tcBorders>
          </w:tcPr>
          <w:p>
            <w:pPr>
              <w:keepNext/>
              <w:spacing w:before="0" w:after="0" w:line="240" w:lineRule="auto"/>
              <w:jc w:val="end"/>
            </w:pPr>
            <w:r>
              <w:rPr>
                <w:rFonts w:ascii="Arial" w:hAnsi="Arial"/>
                <w:sz w:val="20"/>
              </w:rPr>
              <w:t xml:space="default">3.68 (3.61–3.75)</w:t>
            </w:r>
          </w:p>
        </w:tc>
      </w:tr>
      <w:tr>
        <w:trPr>
          <w:cantSplit/>
        </w:trPr>
        <w:tc>
          <w:tcPr>
            <w:gridSpan w:val="4"/>
            <w:tcW w:type="dxa" w:w="9864"/>
            <w:tcMar>
              <w:top w:type="dxa" w:w="35"/>
              <w:bottom w:type="dxa" w:w="35"/>
              <w:start w:type="dxa" w:w="70"/>
              <w:end w:type="dxa" w:w="70"/>
            </w:tcMar>
            <w:tcBorders>
              <w:top w:val="nil" w:sz="0" w:color="666666"/>
              <w:bottom w:val="nil" w:sz="0" w:color="666666"/>
              <w:start w:val="nil" w:sz="0" w:color="666666"/>
              <w:end w:val="nil" w:sz="0" w:color="666666"/>
            </w:tcBorders>
          </w:tcPr>
          <w:p>
            <w:pPr>
              <w:keepNext w:val="0"/>
              <w:spacing w:before="0" w:after="0" w:line="240" w:lineRule="auto"/>
            </w:pPr>
            <w:r>
              <w:rPr>
                <w:rFonts w:ascii="Arial" w:hAnsi="Arial"/>
                <w:sz w:val="20"/>
              </w:rPr>
              <w:t xml:space="default">Unassisted rule-break cells show No./total (%; 95% CI); CI bounds are percentages. Domain rules use evaluable ratings (ARBITER 510; Unassisted 509); one Unassisted cell is unevaluable. Evidence denominators count active answers or distinct evidence records as indicated; verifier denominator is 102 bundles. ARBITER has no recorded domain overrides; one Overall escalation is permitted. Evidence checks establish quotation occurrence and structural binding, without assessing answer support. Runtime and API list-price equivalents use 102 paired trials; source summaries are median (IQR), contrasts are paired mean differences. Cost is a frozen-rate equivalent, not expenditure. — means not applicable; Not available means not measured. CI, 95% confidence interval; 10,000 percentile bootstrap replicates, trials resampled within meta-analysis; seed 20261018.</w:t>
            </w:r>
          </w:p>
        </w:tc>
      </w:tr>
    </w:tbl>
    <w:p>
      <w:pPr>
        <w:pStyle w:val="BodyText"/>
      </w:pPr>
      <w:r>
        <w:t xml:space="preserve">ARBITER required more computation. Median (IQR) runtime was 7.6 (6.1–10.5) versus 0.5 (0.4–0.5) minutes per trial; the paired mean difference was 11.0 minutes (95% CI, 8.4–14.1). Median (IQR) API list-price equivalents were US$3.78 (3.46–4.10) versus US$0.09 (0.07–0.13), with a paired mean difference of US$3.68 (3.61–3.75).</w:t>
      </w:r>
    </w:p>
    <w:bookmarkEnd w:id="27"/>
    <w:bookmarkStart w:id="29" w:name="discussion-1"/>
    <w:p>
      <w:bookmarkStart w:id="111" w:name="loc_52"/>
      <w:pPr>
        <w:pStyle w:val="Heading1"/>
      </w:pPr>
      <w:r>
        <w:rPr>
          <w:b/>
        </w:rPr>
        <w:t>DISCUSSION</w:t>
      </w:r>
      <w:bookmarkEnd w:id="111"/>
    </w:p>
    <w:p>
      <w:pPr>
        <w:pStyle w:val="FirstParagraph"/>
      </w:pPr>
      <w:r>
        <w:t xml:space="preserve">ARBITER showed no clear agreement advantage over minimal prompting against published labels, whereas it agreed more often with each independent expert. Published labels were predominantly Low and did not always concern an exactly aligned result. Broader published targets could make an apparently discordant rating appropriate for a different result; review-level conventions could also differ from those applied to our specified task. These are plausible explanations for investigation, rather than demonstrated causes of the observed pattern. The independent ratings provide a complementary comparison because experts assessed the same inputs and target prompts before seeing offered labels. Their disagreement, particularly for missing outcome data, also shows why neither expert can be treated as an error-free standard.</w:t>
      </w:r>
    </w:p>
    <w:p>
      <w:pPr>
        <w:pStyle w:val="BodyText"/>
      </w:pPr>
      <w:r>
        <w:t xml:space="preserve">Reference dependence is visible even when human comparators assess the same trial set. In Gandhi’s study of 50 RCTs sampled from 50 meta-analyses, overall exact agreement was 46% between ChatGPT-o3 and a masked panel, 36% between the model and original systematic review authors, and 54% between the two human sources.[8] Agreement therefore describes a relationship between assessments, rather than an intrinsic property of a model. Reporting each reference separately preserves the distinction between reproducing a review’s published judgments and agreeing with independently elicited assessments. Our subsequent blinded choices add a narrower perspective: 53 labels matched ARBITER among the 60 arm-discordant cells with an agreed expert choice, with another 20 split choices. Since experts saw labels without rationales, this finding concerns conditional label matching rather than endorsement of the underlying reasoning.</w:t>
      </w:r>
    </w:p>
    <w:p>
      <w:pPr>
        <w:pStyle w:val="BodyText"/>
      </w:pPr>
      <w:r>
        <w:t xml:space="preserve">The domain and answer findings show where the apparent improvement needs closer examination. D5 had the largest observed domain-rating gains, but its collapsed-answer contrast against Expert 2 included no difference. In D3 against Expert 1, an unfavorable five-level contrast became favorable after yes was combined with probably yes and no with probably no. Collapsing these clinical answer categories changes the distinctions being tested; it does not resolve the adverse five-level result. Inspection should therefore address both the interpretation of missing outcome data and the choice between a definite and probable answer. Separate intervals do not test differences between domains, and the present study did not identify the reasons for these disagreements.</w:t>
      </w:r>
    </w:p>
    <w:p>
      <w:pPr>
        <w:pStyle w:val="BodyText"/>
      </w:pPr>
      <w:r>
        <w:t xml:space="preserve">Executable rules settle one part of this pathway: the transition from recorded answers to proposed ratings. All adopted ARBITER ratings followed their answers, with no overrides observed, whereas Unassisted sometimes contradicted its answers or omitted required questions. In Choi’s single-trial pilot, ROBOTO2’s entered ratings matched those implied by its answers in a mean 60% of domain judgments across 10 runs and five domains.[14] The repeated single-trial design examines within-trial variation rather than performance across a trial population, but illustrates why agreement with an expert and conformity to one’s own answers are different properties. Software fixes the answer-to-rating transition; the interpretation producing those answers remains the unresolved step.</w:t>
      </w:r>
    </w:p>
    <w:p>
      <w:pPr>
        <w:pStyle w:val="BodyText"/>
      </w:pPr>
      <w:r>
        <w:t xml:space="preserve">That interpretive step is clinically consequential in selection of the reported result. The illustrative AVATAR assessment did not establish a dated analysis plan for the assessed mortality result from the supplied documents. A passage describing an analysis can establish what was reported without establishing that the plan preceded access to unblinded outcome data.[1] Retaining the source passage, signalling answer and justification lets a reviewer examine that temporal distinction and seek additional documentation. The example illustrates how an inspectable record can support scrutiny without making a claim about typical performance or the cause of the observed D5 gains.</w:t>
      </w:r>
    </w:p>
    <w:p>
      <w:pPr>
        <w:pStyle w:val="BodyText"/>
      </w:pPr>
      <w:r>
        <w:t xml:space="preserve">Evidence support requires evaluating the relation between a claim and its source. In Liang’s study of 97 trial reports from one Cochrane review, GPT-5’s mean evidence support was 64.3% (SD 5.9%) under an automated retrieve-then-verify procedure.[15] These judgments depended on retrieved context and a single judge model, rather than independent human validation. The distinction is relevant to our structural findings: storing an actual captured slice establishes what text was selected, while a reviewer must determine whether it addresses the relevant result and sufficiently supports the answer. Omitted passages may change that interpretation, extraction may lose information, and image transcriptions remain model-written. Independent passage-to-answer assessment would test this unresolved relation.</w:t>
      </w:r>
    </w:p>
    <w:p>
      <w:pPr>
        <w:pStyle w:val="BodyText"/>
      </w:pPr>
      <w:r>
        <w:t xml:space="preserve">The observed agreement differences belong to the complete workflows. ARBITER combined additional instructions, software and computation, so this comparison and the rules-only recomputation cannot isolate component effects. Minimal prompting also provides a limited comparator alongside structured alternatives.[8,9,10] Both arms used a common reported model identifier and configuration on different dates, without verified immutable snapshot identity. Purposive review selection, ordered and availability-dependent trial selection, target uncertainty, unsupported-design exclusions, two experts and one run per arm restrict generalization. Bootstrap intervals describe trial variation conditional on the fixed reviews, experts and observed runs. Prior model exposure to trial reports is unknown, and complete development and version-freeze documentation and expert qualifications remain pending. Offered labels could anchor later choices and revised ratings despite source blinding. Findings concern the evaluated software revision.</w:t>
      </w:r>
    </w:p>
    <w:p>
      <w:pPr>
        <w:pStyle w:val="BodyText"/>
      </w:pPr>
      <w:r>
        <w:t xml:space="preserve">The practical question is whether reviewers can detect unsupported interpretations and reach defensible judgments with less verification effort. Computational runtime does not measure that work. In a randomized within-reviewer study of four domains of the earlier Cochrane tool, 41 participants assessed articles with and without RobotReviewer assistance; modeled relative assessment time was 0.75 (95% CI, 0.62–0.92).[16] An implementation study in ongoing reviews found mixed acceptability and lacked a manual-only time comparator.[17] These studies make reviewer behavior and verification time central outcomes for an evaluation of ARBITER in use. Such a study should examine which unsupported interpretations reviewers detect, how suggestions affect final judgments, and the effort required to check them. In living reviews, the retained record also provides a basis for studying how reviewers revisit assessments when new reports or supporting documents become available.</w:t>
      </w:r>
    </w:p>
    <w:bookmarkStart w:id="28" w:name="conclusion-1"/>
    <w:p>
      <w:bookmarkStart w:id="120" w:name="loc_61"/>
      <w:pPr>
        <w:pStyle w:val="Heading2"/>
      </w:pPr>
      <w:r>
        <w:rPr>
          <w:b/>
        </w:rPr>
        <w:t>Conclusion</w:t>
      </w:r>
      <w:bookmarkEnd w:id="120"/>
    </w:p>
    <w:p>
      <w:pPr>
        <w:pStyle w:val="FirstParagraph"/>
      </w:pPr>
      <w:r>
        <w:t xml:space="preserve">In this single-run benchmark, ARBITER showed no clear published-label agreement advantage and agreed more often with both independent experts than minimal prompting using a comparably configured reported model. Evidence support and reviewer benefit remain untested. Its demonstrated contribution is an inspectable pathway connecting supplied sources and signalling answers to rule-conformant ratings.</w:t>
      </w:r>
    </w:p>
    <w:bookmarkEnd w:id="28"/>
    <w:bookmarkEnd w:id="29"/>
    <w:bookmarkStart w:id="39" w:name="back-matter"/>
    <w:p>
      <w:bookmarkStart w:id="122" w:name="loc_63"/>
      <w:pPr>
        <w:pStyle w:val="Heading1"/>
      </w:pPr>
      <w:r>
        <w:rPr>
          <w:b/>
        </w:rPr>
        <w:t>BACK MATTER</w:t>
      </w:r>
      <w:bookmarkEnd w:id="122"/>
    </w:p>
    <w:bookmarkStart w:id="30" w:name="acknowledgments-and-ai-use"/>
    <w:p>
      <w:bookmarkStart w:id="123" w:name="loc_64"/>
      <w:pPr>
        <w:pStyle w:val="Heading2"/>
      </w:pPr>
      <w:r>
        <w:rPr>
          <w:b/>
        </w:rPr>
        <w:t>Acknowledgments and AI use</w:t>
      </w:r>
      <w:bookmarkEnd w:id="123"/>
    </w:p>
    <w:p>
      <w:pPr>
        <w:pStyle w:val="FirstParagraph"/>
      </w:pPr>
      <w:r>
        <w:t xml:space="preserve">[Non-author contributors and acknowledgments]. OpenAI GPT-6-Astra, GPT-6.1-Sol and GPT-6-Luna, accessed through T3 Code, assisted literature research, drafting and editorial checks in this revision. Final author review, approval and accountability remain pending; any AI assistance before this revision remains to be confirmed. [Author to verify the complete disclosure, including any AI use in code, data processing or figures, and provide matching cover-letter disclosure]. The expert assessments and forced-choice adjudication used no AI.</w:t>
      </w:r>
    </w:p>
    <w:bookmarkEnd w:id="30"/>
    <w:bookmarkStart w:id="31" w:name="funding"/>
    <w:p>
      <w:bookmarkStart w:id="125" w:name="loc_66"/>
      <w:pPr>
        <w:pStyle w:val="Heading2"/>
      </w:pPr>
      <w:r>
        <w:rPr>
          <w:b/>
        </w:rPr>
        <w:t>Funding</w:t>
      </w:r>
      <w:bookmarkEnd w:id="125"/>
    </w:p>
    <w:p>
      <w:pPr>
        <w:pStyle w:val="FirstParagraph"/>
      </w:pPr>
      <w:r>
        <w:t xml:space="preserve">[Funding sources, grant identifiers and funder role, or an explicit statement of no funding].</w:t>
      </w:r>
    </w:p>
    <w:bookmarkEnd w:id="31"/>
    <w:bookmarkStart w:id="32" w:name="competing-interests"/>
    <w:p>
      <w:bookmarkStart w:id="127" w:name="loc_68"/>
      <w:pPr>
        <w:pStyle w:val="Heading2"/>
      </w:pPr>
      <w:r>
        <w:rPr>
          <w:b/>
        </w:rPr>
        <w:t>Competing interests</w:t>
      </w:r>
      <w:bookmarkEnd w:id="127"/>
    </w:p>
    <w:p>
      <w:pPr>
        <w:pStyle w:val="FirstParagraph"/>
      </w:pPr>
      <w:r>
        <w:t xml:space="preserve">[Author-specific competing interests, including relevant relationships to ARBITER, or an explicit declaration of none].</w:t>
      </w:r>
    </w:p>
    <w:bookmarkEnd w:id="32"/>
    <w:bookmarkStart w:id="33" w:name="author-contributions"/>
    <w:p>
      <w:bookmarkStart w:id="129" w:name="loc_70"/>
      <w:pPr>
        <w:pStyle w:val="Heading2"/>
      </w:pPr>
      <w:r>
        <w:rPr>
          <w:b/>
        </w:rPr>
        <w:t>Author contributions</w:t>
      </w:r>
      <w:bookmarkEnd w:id="129"/>
    </w:p>
    <w:p>
      <w:pPr>
        <w:pStyle w:val="FirstParagraph"/>
      </w:pPr>
      <w:r>
        <w:t xml:space="preserve">[Author names mapped to CRediT roles; confirmation of final approval and accountability].</w:t>
      </w:r>
    </w:p>
    <w:bookmarkEnd w:id="33"/>
    <w:bookmarkStart w:id="34" w:name="Xa795f839aa3476760733bd38e4d2d15944e6881"/>
    <w:p>
      <w:bookmarkStart w:id="131" w:name="loc_72"/>
      <w:pPr>
        <w:pStyle w:val="Heading2"/>
      </w:pPr>
      <w:r>
        <w:rPr>
          <w:b/>
        </w:rPr>
        <w:t>Ethics, registration and public involvement</w:t>
      </w:r>
      <w:bookmarkEnd w:id="131"/>
    </w:p>
    <w:p>
      <w:pPr>
        <w:pStyle w:val="FirstParagraph"/>
      </w:pPr>
      <w:r>
        <w:t xml:space="preserve">[Ethics approval or exemption determination and consent requirements, including the expert assessment and forced-choice component]. [Study registration status and identifier, if applicable]. [Patient and public involvement statement].</w:t>
      </w:r>
    </w:p>
    <w:bookmarkEnd w:id="34"/>
    <w:bookmarkStart w:id="38" w:name="data-availability"/>
    <w:p>
      <w:bookmarkStart w:id="133" w:name="loc_74"/>
      <w:pPr>
        <w:pStyle w:val="Heading2"/>
      </w:pPr>
      <w:r>
        <w:rPr>
          <w:b/>
        </w:rPr>
        <w:t>Data availability</w:t>
      </w:r>
      <w:bookmarkEnd w:id="133"/>
    </w:p>
    <w:p>
      <w:pPr>
        <w:pStyle w:val="FirstParagraph"/>
      </w:pPr>
      <w:r>
        <w:t xml:space="preserve">The</w:t>
      </w:r>
      <w:r>
        <w:t xml:space="preserve"> </w:t>
      </w:r>
      <w:hyperlink r:id="rId35">
        <w:r>
          <w:rPr>
            <w:rStyle w:val="Hyperlink"/>
          </w:rPr>
          <w:t xml:space="preserve">public study repository</w:t>
        </w:r>
      </w:hyperlink>
      <w:r>
        <w:t xml:space="preserve"> </w:t>
      </w:r>
      <w:r>
        <w:t xml:space="preserve">provides analysis code, derived data, expert assessment sheets, prompts and reproducibility materials. An archival DOI and complete dataset citation remain pending. ARBITER source is available at</w:t>
      </w:r>
      <w:r>
        <w:t xml:space="preserve"> </w:t>
      </w:r>
      <w:hyperlink r:id="rId21">
        <w:r>
          <w:rPr>
            <w:rStyle w:val="Hyperlink"/>
          </w:rPr>
          <w:t xml:space="preserve">the public software commit</w:t>
        </w:r>
      </w:hyperlink>
      <w:r>
        <w:t xml:space="preserve">. The</w:t>
      </w:r>
      <w:r>
        <w:t xml:space="preserve"> </w:t>
      </w:r>
      <w:hyperlink r:id="rId36">
        <w:r>
          <w:rPr>
            <w:rStyle w:val="Hyperlink"/>
          </w:rPr>
          <w:t xml:space="preserve">results report</w:t>
        </w:r>
      </w:hyperlink>
      <w:r>
        <w:t xml:space="preserve"> </w:t>
      </w:r>
      <w:r>
        <w:t xml:space="preserve">and</w:t>
      </w:r>
      <w:r>
        <w:t xml:space="preserve"> </w:t>
      </w:r>
      <w:hyperlink r:id="rId37">
        <w:r>
          <w:rPr>
            <w:rStyle w:val="Hyperlink"/>
          </w:rPr>
          <w:t xml:space="preserve">supplement</w:t>
        </w:r>
      </w:hyperlink>
      <w:r>
        <w:t xml:space="preserve"> </w:t>
      </w:r>
      <w:r>
        <w:t xml:space="preserve">provide the figures, editable tables and reproduction links. Trial PDFs will not be redistributed; trial DOIs and source-file hashes will identify the inputs. Author declarations and archival registration remain pending completion.</w:t>
      </w:r>
    </w:p>
    <w:bookmarkEnd w:id="38"/>
    <w:bookmarkEnd w:id="39"/>
    <w:bookmarkStart w:id="57" w:name="references"/>
    <w:p>
      <w:bookmarkStart w:id="135" w:name="loc_76"/>
      <w:pPr>
        <w:pStyle w:val="Heading1"/>
      </w:pPr>
      <w:r>
        <w:rPr>
          <w:b/>
        </w:rPr>
        <w:t>REFERENCES</w:t>
      </w:r>
      <w:bookmarkEnd w:id="135"/>
    </w:p>
    <w:p>
      <w:pPr>
        <w:numPr>
          <w:ilvl w:val="0"/>
          <w:numId w:val="1001"/>
        </w:numPr>
      </w:pPr>
      <w:r>
        <w:t xml:space="preserve">Sterne JAC, Savović J, Page MJ, et al. RoB 2: a revised tool for assessing risk of bias in randomised trials.</w:t>
      </w:r>
      <w:r>
        <w:t xml:space="preserve"> </w:t>
      </w:r>
      <w:r>
        <w:rPr>
          <w:i/>
          <w:iCs/>
        </w:rPr>
        <w:t xml:space="preserve">BMJ</w:t>
      </w:r>
      <w:r>
        <w:t xml:space="preserve"> </w:t>
      </w:r>
      <w:r>
        <w:t xml:space="preserve">2019;366:l4898. doi:</w:t>
      </w:r>
      <w:hyperlink r:id="rId40">
        <w:r>
          <w:rPr>
            <w:rStyle w:val="Hyperlink"/>
          </w:rPr>
          <w:t xml:space="preserve">10.1136/bmj.l4898</w:t>
        </w:r>
      </w:hyperlink>
      <w:r>
        <w:t xml:space="preserve">.</w:t>
      </w:r>
    </w:p>
    <w:p>
      <w:pPr>
        <w:numPr>
          <w:ilvl w:val="0"/>
          <w:numId w:val="1001"/>
        </w:numPr>
      </w:pPr>
      <w:r>
        <w:t xml:space="preserve">Minozzi S, Cinquini M, Gianola S, et al. The revised Cochrane risk of bias tool for randomized trials (RoB 2) showed low interrater reliability and challenges in its application.</w:t>
      </w:r>
      <w:r>
        <w:t xml:space="preserve"> </w:t>
      </w:r>
      <w:r>
        <w:rPr>
          <w:i/>
          <w:iCs/>
        </w:rPr>
        <w:t xml:space="preserve">J Clin Epidemiol</w:t>
      </w:r>
      <w:r>
        <w:t xml:space="preserve"> </w:t>
      </w:r>
      <w:r>
        <w:t xml:space="preserve">2020;126:37–44. doi:</w:t>
      </w:r>
      <w:hyperlink r:id="rId41">
        <w:r>
          <w:rPr>
            <w:rStyle w:val="Hyperlink"/>
          </w:rPr>
          <w:t xml:space="preserve">10.1016/j.jclinepi.2020.06.015</w:t>
        </w:r>
      </w:hyperlink>
      <w:r>
        <w:t xml:space="preserve">.</w:t>
      </w:r>
    </w:p>
    <w:p>
      <w:pPr>
        <w:numPr>
          <w:ilvl w:val="0"/>
          <w:numId w:val="1001"/>
        </w:numPr>
      </w:pPr>
      <w:r>
        <w:t xml:space="preserve">Minozzi S, Dwan K, Borrelli F, et al. Reliability of the revised Cochrane risk-of-bias tool for randomised trials (RoB2) improved with the use of implementation instruction.</w:t>
      </w:r>
      <w:r>
        <w:t xml:space="preserve"> </w:t>
      </w:r>
      <w:r>
        <w:rPr>
          <w:i/>
          <w:iCs/>
        </w:rPr>
        <w:t xml:space="preserve">J Clin Epidemiol</w:t>
      </w:r>
      <w:r>
        <w:t xml:space="preserve"> </w:t>
      </w:r>
      <w:r>
        <w:t xml:space="preserve">2022;141:99–105. doi:</w:t>
      </w:r>
      <w:hyperlink r:id="rId42">
        <w:r>
          <w:rPr>
            <w:rStyle w:val="Hyperlink"/>
          </w:rPr>
          <w:t xml:space="preserve">10.1016/j.jclinepi.2021.09.021</w:t>
        </w:r>
      </w:hyperlink>
      <w:r>
        <w:t xml:space="preserve">.</w:t>
      </w:r>
    </w:p>
    <w:p>
      <w:pPr>
        <w:numPr>
          <w:ilvl w:val="0"/>
          <w:numId w:val="1001"/>
        </w:numPr>
      </w:pPr>
      <w:r>
        <w:t xml:space="preserve">Riaz IB, Naqvi SAA, Hasan B, Murad MH. Future of Evidence Synthesis: Automated, Living, and Interactive Systematic Reviews and Meta-analyses.</w:t>
      </w:r>
      <w:r>
        <w:t xml:space="preserve"> </w:t>
      </w:r>
      <w:r>
        <w:rPr>
          <w:i/>
          <w:iCs/>
        </w:rPr>
        <w:t xml:space="preserve">Mayo Clin Proc Digit Health</w:t>
      </w:r>
      <w:r>
        <w:t xml:space="preserve"> </w:t>
      </w:r>
      <w:r>
        <w:t xml:space="preserve">2024;2:361–65. doi:</w:t>
      </w:r>
      <w:hyperlink r:id="rId43">
        <w:r>
          <w:rPr>
            <w:rStyle w:val="Hyperlink"/>
          </w:rPr>
          <w:t xml:space="preserve">10.1016/j.mcpdig.2024.05.023</w:t>
        </w:r>
      </w:hyperlink>
      <w:r>
        <w:t xml:space="preserve">.</w:t>
      </w:r>
    </w:p>
    <w:p>
      <w:pPr>
        <w:numPr>
          <w:ilvl w:val="0"/>
          <w:numId w:val="1001"/>
        </w:numPr>
      </w:pPr>
      <w:r>
        <w:t xml:space="preserve">Marshall IJ, Kuiper J, Wallace BC. RobotReviewer: evaluation of a system for automatically assessing bias in clinical trials.</w:t>
      </w:r>
      <w:r>
        <w:t xml:space="preserve"> </w:t>
      </w:r>
      <w:r>
        <w:rPr>
          <w:i/>
          <w:iCs/>
        </w:rPr>
        <w:t xml:space="preserve">J Am Med Inform Assoc</w:t>
      </w:r>
      <w:r>
        <w:t xml:space="preserve"> </w:t>
      </w:r>
      <w:r>
        <w:t xml:space="preserve">2016;23:193–201. doi:</w:t>
      </w:r>
      <w:hyperlink r:id="rId44">
        <w:r>
          <w:rPr>
            <w:rStyle w:val="Hyperlink"/>
          </w:rPr>
          <w:t xml:space="preserve">10.1093/jamia/ocv044</w:t>
        </w:r>
      </w:hyperlink>
      <w:r>
        <w:t xml:space="preserve">.</w:t>
      </w:r>
    </w:p>
    <w:p>
      <w:pPr>
        <w:numPr>
          <w:ilvl w:val="0"/>
          <w:numId w:val="1001"/>
        </w:numPr>
      </w:pPr>
      <w:r>
        <w:t xml:space="preserve">Hevia A, Chintalapati S, Lai VKW, et al. ROBOTO2: An Interactive System and Dataset for LLM-assisted Clinical Trial Risk of Bias Assessment. In:</w:t>
      </w:r>
      <w:r>
        <w:t xml:space="preserve"> </w:t>
      </w:r>
      <w:r>
        <w:rPr>
          <w:i/>
          <w:iCs/>
        </w:rPr>
        <w:t xml:space="preserve">Proceedings of the 2025 Conference on Empirical Methods in Natural Language Processing: System Demonstrations</w:t>
      </w:r>
      <w:r>
        <w:t xml:space="preserve">. Association for Computational Linguistics, 2025:12–25. doi:</w:t>
      </w:r>
      <w:hyperlink r:id="rId45">
        <w:r>
          <w:rPr>
            <w:rStyle w:val="Hyperlink"/>
          </w:rPr>
          <w:t xml:space="preserve">10.18653/v1/2025.emnlp-demos.2</w:t>
        </w:r>
      </w:hyperlink>
      <w:r>
        <w:t xml:space="preserve">.</w:t>
      </w:r>
    </w:p>
    <w:p>
      <w:pPr>
        <w:numPr>
          <w:ilvl w:val="0"/>
          <w:numId w:val="1001"/>
        </w:numPr>
      </w:pPr>
      <w:r>
        <w:t xml:space="preserve">Ji C, Zhao B, Wang Z, et al. RoBGuard: Enhancing LLMs to Assess Risk of Bias in Clinical Trial Documents. In:</w:t>
      </w:r>
      <w:r>
        <w:t xml:space="preserve"> </w:t>
      </w:r>
      <w:r>
        <w:rPr>
          <w:i/>
          <w:iCs/>
        </w:rPr>
        <w:t xml:space="preserve">Proceedings of the 31st International Conference on Computational Linguistics</w:t>
      </w:r>
      <w:r>
        <w:t xml:space="preserve">. Association for Computational Linguistics, 2025:1258–77. Available at:</w:t>
      </w:r>
      <w:r>
        <w:t xml:space="preserve"> </w:t>
      </w:r>
      <w:hyperlink r:id="rId46">
        <w:r>
          <w:rPr>
            <w:rStyle w:val="Hyperlink"/>
          </w:rPr>
          <w:t xml:space="preserve">ACL Anthology</w:t>
        </w:r>
      </w:hyperlink>
      <w:r>
        <w:t xml:space="preserve">.</w:t>
      </w:r>
    </w:p>
    <w:p>
      <w:pPr>
        <w:numPr>
          <w:ilvl w:val="0"/>
          <w:numId w:val="1001"/>
        </w:numPr>
      </w:pPr>
      <w:r>
        <w:t xml:space="preserve">Gandhi S, Shokravi A, Chelliahpillai Y, et al. Evaluating large language model performance in Risk of Bias assessments: A cross-sectional validation study.</w:t>
      </w:r>
      <w:r>
        <w:t xml:space="preserve"> </w:t>
      </w:r>
      <w:r>
        <w:rPr>
          <w:i/>
          <w:iCs/>
        </w:rPr>
        <w:t xml:space="preserve">PLoS One</w:t>
      </w:r>
      <w:r>
        <w:t xml:space="preserve"> </w:t>
      </w:r>
      <w:r>
        <w:t xml:space="preserve">2026;21:e0353155. doi:</w:t>
      </w:r>
      <w:hyperlink r:id="rId47">
        <w:r>
          <w:rPr>
            <w:rStyle w:val="Hyperlink"/>
          </w:rPr>
          <w:t xml:space="preserve">10.1371/journal.pone.0353155</w:t>
        </w:r>
      </w:hyperlink>
      <w:r>
        <w:t xml:space="preserve">.</w:t>
      </w:r>
    </w:p>
    <w:p>
      <w:pPr>
        <w:numPr>
          <w:ilvl w:val="0"/>
          <w:numId w:val="1001"/>
        </w:numPr>
      </w:pPr>
      <w:r>
        <w:t xml:space="preserve">Huang J, Lai H, Zhao W, et al. Large Language Model–Assisted Risk-of-Bias Assessment in Randomized Controlled Trials Using the Revised Risk-of-Bias Tool: Evaluation Study.</w:t>
      </w:r>
      <w:r>
        <w:t xml:space="preserve"> </w:t>
      </w:r>
      <w:r>
        <w:rPr>
          <w:i/>
          <w:iCs/>
        </w:rPr>
        <w:t xml:space="preserve">J Med Internet Res</w:t>
      </w:r>
      <w:r>
        <w:t xml:space="preserve"> </w:t>
      </w:r>
      <w:r>
        <w:t xml:space="preserve">2025;27:e70450. doi:</w:t>
      </w:r>
      <w:hyperlink r:id="rId48">
        <w:r>
          <w:rPr>
            <w:rStyle w:val="Hyperlink"/>
          </w:rPr>
          <w:t xml:space="preserve">10.2196/70450</w:t>
        </w:r>
      </w:hyperlink>
      <w:r>
        <w:t xml:space="preserve">.</w:t>
      </w:r>
    </w:p>
    <w:p>
      <w:pPr>
        <w:numPr>
          <w:ilvl w:val="0"/>
          <w:numId w:val="1001"/>
        </w:numPr>
      </w:pPr>
      <w:r>
        <w:t xml:space="preserve">Xiong YT, Wang YC, Sun YN, et al. Impact of prompt engineering on large language models for risk of bias assessment: a comparative study.</w:t>
      </w:r>
      <w:r>
        <w:t xml:space="preserve"> </w:t>
      </w:r>
      <w:r>
        <w:rPr>
          <w:i/>
          <w:iCs/>
        </w:rPr>
        <w:t xml:space="preserve">BMJ Evid Based Med</w:t>
      </w:r>
      <w:r>
        <w:t xml:space="preserve"> </w:t>
      </w:r>
      <w:r>
        <w:t xml:space="preserve">2026;31:332–41. doi:</w:t>
      </w:r>
      <w:hyperlink r:id="rId49">
        <w:r>
          <w:rPr>
            <w:rStyle w:val="Hyperlink"/>
          </w:rPr>
          <w:t xml:space="preserve">10.1136/bmjebm-2025-114055</w:t>
        </w:r>
      </w:hyperlink>
      <w:r>
        <w:t xml:space="preserve">.</w:t>
      </w:r>
    </w:p>
    <w:p>
      <w:pPr>
        <w:numPr>
          <w:ilvl w:val="0"/>
          <w:numId w:val="1001"/>
        </w:numPr>
      </w:pPr>
      <w:r>
        <w:t xml:space="preserve">Gartlehner G, Kugley S, Crotty K, et al. Artificial Intelligence–Assisted Data Extraction With a Large Language Model: A Study Within Reviews.</w:t>
      </w:r>
      <w:r>
        <w:t xml:space="preserve"> </w:t>
      </w:r>
      <w:r>
        <w:rPr>
          <w:i/>
          <w:iCs/>
        </w:rPr>
        <w:t xml:space="preserve">Ann Intern Med</w:t>
      </w:r>
      <w:r>
        <w:t xml:space="preserve"> </w:t>
      </w:r>
      <w:r>
        <w:t xml:space="preserve">2025;178:1763–71. doi:</w:t>
      </w:r>
      <w:hyperlink r:id="rId50">
        <w:r>
          <w:rPr>
            <w:rStyle w:val="Hyperlink"/>
          </w:rPr>
          <w:t xml:space="preserve">10.7326/ANNALS-25-00739</w:t>
        </w:r>
      </w:hyperlink>
      <w:r>
        <w:t xml:space="preserve">.</w:t>
      </w:r>
    </w:p>
    <w:p>
      <w:pPr>
        <w:numPr>
          <w:ilvl w:val="0"/>
          <w:numId w:val="1001"/>
        </w:numPr>
      </w:pPr>
      <w:r>
        <w:t xml:space="preserve">Gallifant J, Afshar M, Ameen S, et al. The TRIPOD-LLM reporting guideline for studies using large language models.</w:t>
      </w:r>
      <w:r>
        <w:t xml:space="preserve"> </w:t>
      </w:r>
      <w:r>
        <w:rPr>
          <w:i/>
          <w:iCs/>
        </w:rPr>
        <w:t xml:space="preserve">Nat Med</w:t>
      </w:r>
      <w:r>
        <w:t xml:space="preserve"> </w:t>
      </w:r>
      <w:r>
        <w:t xml:space="preserve">2025;31:60–69. doi:</w:t>
      </w:r>
      <w:hyperlink r:id="rId51">
        <w:r>
          <w:rPr>
            <w:rStyle w:val="Hyperlink"/>
          </w:rPr>
          <w:t xml:space="preserve">10.1038/s41591-024-03425-5</w:t>
        </w:r>
      </w:hyperlink>
      <w:r>
        <w:t xml:space="preserve">.</w:t>
      </w:r>
    </w:p>
    <w:p>
      <w:pPr>
        <w:numPr>
          <w:ilvl w:val="0"/>
          <w:numId w:val="1001"/>
        </w:numPr>
      </w:pPr>
      <w:r>
        <w:t xml:space="preserve">Kottner J, Audigé L, Brorson S, et al. Guidelines for Reporting Reliability and Agreement Studies (GRRAS) were proposed.</w:t>
      </w:r>
      <w:r>
        <w:t xml:space="preserve"> </w:t>
      </w:r>
      <w:r>
        <w:rPr>
          <w:i/>
          <w:iCs/>
        </w:rPr>
        <w:t xml:space="preserve">J Clin Epidemiol</w:t>
      </w:r>
      <w:r>
        <w:t xml:space="preserve"> </w:t>
      </w:r>
      <w:r>
        <w:t xml:space="preserve">2011;64:96–106. doi:</w:t>
      </w:r>
      <w:hyperlink r:id="rId52">
        <w:r>
          <w:rPr>
            <w:rStyle w:val="Hyperlink"/>
          </w:rPr>
          <w:t xml:space="preserve">10.1016/j.jclinepi.2010.03.002</w:t>
        </w:r>
      </w:hyperlink>
      <w:r>
        <w:t xml:space="preserve">.</w:t>
      </w:r>
    </w:p>
    <w:p>
      <w:pPr>
        <w:numPr>
          <w:ilvl w:val="0"/>
          <w:numId w:val="1001"/>
        </w:numPr>
      </w:pPr>
      <w:r>
        <w:t xml:space="preserve">Choi J, Swan H, Kim MJ, et al. Variability, algorithm conformance, and accuracy of large language model–based tools for risk-of-bias (RoB 2.0) assessment of randomized trials: a pilot study.</w:t>
      </w:r>
      <w:r>
        <w:t xml:space="preserve"> </w:t>
      </w:r>
      <w:r>
        <w:rPr>
          <w:i/>
          <w:iCs/>
        </w:rPr>
        <w:t xml:space="preserve">Journal of Evidence-Based Practice</w:t>
      </w:r>
      <w:r>
        <w:t xml:space="preserve"> </w:t>
      </w:r>
      <w:r>
        <w:t xml:space="preserve">2026;2:91–97. doi:</w:t>
      </w:r>
      <w:hyperlink r:id="rId53">
        <w:r>
          <w:rPr>
            <w:rStyle w:val="Hyperlink"/>
          </w:rPr>
          <w:t xml:space="preserve">10.63528/jebp.2026.00011</w:t>
        </w:r>
      </w:hyperlink>
      <w:r>
        <w:t xml:space="preserve">.</w:t>
      </w:r>
    </w:p>
    <w:p>
      <w:pPr>
        <w:numPr>
          <w:ilvl w:val="0"/>
          <w:numId w:val="1001"/>
        </w:numPr>
      </w:pPr>
      <w:r>
        <w:t xml:space="preserve">Liang Z, Sheffield C, Butera G, Antani S. Retrieve-Then-Verify for Evaluating Evidence Support and Hallucination in Large Language Model–Generated Medical Information: Empirical Study.</w:t>
      </w:r>
      <w:r>
        <w:t xml:space="preserve"> </w:t>
      </w:r>
      <w:r>
        <w:rPr>
          <w:i/>
          <w:iCs/>
        </w:rPr>
        <w:t xml:space="preserve">JMIR AI</w:t>
      </w:r>
      <w:r>
        <w:t xml:space="preserve"> </w:t>
      </w:r>
      <w:r>
        <w:t xml:space="preserve">2026;5:e93761. doi:</w:t>
      </w:r>
      <w:hyperlink r:id="rId54">
        <w:r>
          <w:rPr>
            <w:rStyle w:val="Hyperlink"/>
          </w:rPr>
          <w:t xml:space="preserve">10.2196/93761</w:t>
        </w:r>
      </w:hyperlink>
      <w:r>
        <w:t xml:space="preserve">.</w:t>
      </w:r>
    </w:p>
    <w:p>
      <w:pPr>
        <w:numPr>
          <w:ilvl w:val="0"/>
          <w:numId w:val="1001"/>
        </w:numPr>
      </w:pPr>
      <w:r>
        <w:t xml:space="preserve">Soboczenski F, Trikalinos TA, Kuiper J, et al. Machine learning to help researchers evaluate biases in clinical trials: a prospective, randomized user study.</w:t>
      </w:r>
      <w:r>
        <w:t xml:space="preserve"> </w:t>
      </w:r>
      <w:r>
        <w:rPr>
          <w:i/>
          <w:iCs/>
        </w:rPr>
        <w:t xml:space="preserve">BMC Med Inform Decis Mak</w:t>
      </w:r>
      <w:r>
        <w:t xml:space="preserve"> </w:t>
      </w:r>
      <w:r>
        <w:t xml:space="preserve">2019;19:96. doi:</w:t>
      </w:r>
      <w:hyperlink r:id="rId55">
        <w:r>
          <w:rPr>
            <w:rStyle w:val="Hyperlink"/>
          </w:rPr>
          <w:t xml:space="preserve">10.1186/s12911-019-0814-z</w:t>
        </w:r>
      </w:hyperlink>
      <w:r>
        <w:t xml:space="preserve">.</w:t>
      </w:r>
    </w:p>
    <w:p>
      <w:pPr>
        <w:numPr>
          <w:ilvl w:val="0"/>
          <w:numId w:val="1001"/>
        </w:numPr>
      </w:pPr>
      <w:r>
        <w:t xml:space="preserve">Jardim PSJ, Rose CJ, Ames HM, et al. Automating risk of bias assessment in systematic reviews: a real-time mixed methods comparison of human researchers to a machine learning system.</w:t>
      </w:r>
      <w:r>
        <w:t xml:space="preserve"> </w:t>
      </w:r>
      <w:r>
        <w:rPr>
          <w:i/>
          <w:iCs/>
        </w:rPr>
        <w:t xml:space="preserve">BMC Med Res Methodol</w:t>
      </w:r>
      <w:r>
        <w:t xml:space="preserve"> </w:t>
      </w:r>
      <w:r>
        <w:t xml:space="preserve">2022;22:167. doi:</w:t>
      </w:r>
      <w:hyperlink r:id="rId56">
        <w:r>
          <w:rPr>
            <w:rStyle w:val="Hyperlink"/>
          </w:rPr>
          <w:t xml:space="preserve">10.1186/s12874-022-01649-y</w:t>
        </w:r>
      </w:hyperlink>
      <w:r>
        <w:t xml:space="preserve">.</w:t>
      </w:r>
    </w:p>
    <w:bookmarkEnd w:id="57"/>
    <w:bookmarkEnd w:id="58"/>
    <w:p>
      <w:bookmarkStart w:id="153" w:name="loc_94"/>
      <w:pPr>
        <w:pStyle w:val="Heading1"/>
        <w:pageBreakBefore/>
      </w:pPr>
      <w:r>
        <w:t>FIGURE LEGENDS</w:t>
      </w:r>
      <w:bookmarkEnd w:id="153"/>
    </w:p>
    <w:p>
      <w:pPr>
        <w:keepNext/>
        <w:keepLines/>
        <w:pageBreakBefore w:val="0"/>
      </w:pPr>
      <w:r>
        <w:t>Figure 1. ARBITER splits the work: an AI model reads and answers; rule-based software checks quotes, applies RoB 2 rules and records everything. Lanes show the reviewer, AI model, ARBITER server and audit file across capture, approval, domain assessment and export. Plain labels show actions; gray text names the underlying tool calls. The reviewer receives the HTML report and audit file, both checkable by an independent verifier. RoB 2 is the Cochrane risk-of-bias tool for randomised trials.</w:t>
      </w:r>
    </w:p>
    <w:p>
      <w:pPr>
        <w:keepLines/>
      </w:pPr>
      <w:r>
        <w:t>Alt text: The reviewer chooses a trial and outcome and approves the result to assess. The AI model reads reports, selects evidence and answers questions. ARBITER stores source records, checks quotes and applies the RoB 2 rules. The reviewer receives an HTML assessment report and an audit file containing sources, quotes, answers and decisions; both can be checked by an independent verifier.</w:t>
      </w:r>
    </w:p>
    <w:p>
      <w:pPr>
        <w:keepNext/>
        <w:keepLines/>
        <w:pageBreakBefore/>
      </w:pPr>
      <w:r>
        <w:t>Figure 2. Each answer is tied to stored sources, and RoB 2 rules compute the rating across every domain. AVATAR compares early surgery with watchful waiting in asymptomatic severe aortic stenosis; the outcome is all-cause death. This trial was chosen to illustrate the process, not as representative. Rows link paraphrased questions, source excerpts, AI answers, software checks and domain ratings. Letter/page tabs identify sources; “Weighed against” and “Open point” give counter-evidence and unknowns. A missing dated analysis plan leads to Some concerns overall. Full answers and official question wording appear in the AVATAR complete trace in the supplement. Y, yes; PY, probably yes; PN, probably no; N, no; NI, no information.</w:t>
      </w:r>
    </w:p>
    <w:p>
      <w:pPr>
        <w:keepLines/>
      </w:pPr>
      <w:r>
        <w:t>Alt text: AVATAR's five risk-of-bias domains connect source excerpts to the AI model's answers and the ratings computed by ARBITER. Four domains are Low. For selection of the reported result, the stored sources do not establish a dated plan for this analysis. The model answers No information, and the RoB 2 rules yield Some concerns for that domain and overall. Counter-evidence and unresolved questions remain visible alongside the answers.</w:t>
      </w:r>
    </w:p>
    <w:p>
      <w:pPr>
        <w:keepNext/>
        <w:keepLines/>
        <w:pageBreakBefore/>
      </w:pPr>
      <w:r>
        <w:t>Figure 3. Paired evaluation and conditional blinded-label choices. Both arms assessed the same 102 trials using the same Sonnet model and supplied documents. Two experts independently recorded ratings and signalling answers for all 510 trial-domain cells before viewing labels. In a separate stage, each chose among three labels presented in random order without rationales. The conditional choice estimate uses 60 agreed choices from 80 arm-discordant cells; 20 split choices enter sensitivities. The all-cell expert comparisons are not restricted to that conditional population. Counts are trials or cells as indicated; no interval applies.</w:t>
      </w:r>
    </w:p>
    <w:p>
      <w:pPr>
        <w:keepLines/>
      </w:pPr>
      <w:r>
        <w:t>Alt text: Paired evaluation of 102 trials and 510 cells against two independent experts. A separate conditional branch contains 80 arm-discordant cells, 60 agreed choices and 20 splits.</w:t>
      </w:r>
    </w:p>
    <w:p>
      <w:pPr>
        <w:keepNext/>
        <w:keepLines/>
        <w:pageBreakBefore/>
      </w:pPr>
      <w:r>
        <w:t>Figure 4. Absolute and paired domain agreement with each independent expert. Blue circles denote ARBITER and orange squares Unassisted. Left panels show exact agreement with 95% intervals on a 0–100% scale; right panels show paired ARBITER minus Unassisted differences in percentage points, with neutral diamonds and zero lines. Each expert contributes 510 pooled cells and 102 per domain. Expert-to-expert agreement is 388/510 (76.1%; weighted κ 0.59), context rather than a performance ceiling. The compact Published comparison retains all 510 cells. D1: randomisation process; D2: deviations from intended interventions; D3: missing outcome data; D4: outcome measurement; D5: selection of the reported result. Overall is supplementary. CI, 95% confidence interval; 10,000 percentile bootstrap replicates, trials resampled within meta-analysis; seed 20261018.</w:t>
      </w:r>
    </w:p>
    <w:p>
      <w:pPr>
        <w:keepLines/>
      </w:pPr>
      <w:r>
        <w:t>Alt text: Exact agreement and paired gains against each expert, pooled and by domain. Both pooled gains favor ARBITER; D5 gains are largest and D3 depends strongly on the expert reference. The full-cohort Published comparison is shown separately.</w:t>
      </w:r>
    </w:p>
    <w:p>
      <w:pPr>
        <w:keepNext/>
        <w:keepLines/>
        <w:pageBreakBefore/>
      </w:pPr>
      <w:r>
        <w:t>Figure 5. Paired signalling-answer diagnostics. Rows cover all five domains against each expert; n is the number of question components evaluable in both arms. Diamonds and bars show ARBITER minus Unassisted exact agreement and 95% intervals. Five-level matching distinguishes yes, probably yes, no, probably no and no information. Collapsed matching combines yes/probably yes and no/probably no, leaving no information separate. These are different estimands. D1: randomisation process; D2: deviations from intended interventions; D3: missing outcome data; D4: outcome measurement; D5: selection of the reported result. D3 and D5 illustrate reference dependence and the effect of coding; the complete question-level results, including sparse and unfavorable comparisons, are in eFigures 2 and 5. Source-specific absolute rates appear separately in eFigure 4. CI, 95% confidence interval; 10,000 percentile bootstrap replicates, trials resampled within meta-analysis; seed 20261018.</w:t>
      </w:r>
    </w:p>
    <w:p>
      <w:pPr>
        <w:keepLines/>
      </w:pPr>
      <w:r>
        <w:t>Alt text: Paired signalling-answer differences by domain and expert, separating five-level and collapsed coding. D3 changes direction with coding against Expert 1; D5 collapsed gains are smaller against Expert 2.</w:t>
      </w:r>
    </w:p>
    <w:sectPr>
      <w:footerReference w:type="default" r:id="rId9"/>
      <w:footnotePr>
        <w:numRestart w:val="eachSect"/>
      </w:footnotePr>
      <w:pgMar w:top="1080" w:bottom="1080"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Arial" w:hAnsi="Arial"/>
      <w:color w:val="000000"/>
      <w:sz w:val="22"/>
    </w:rPr>
  </w:style>
  <w:style w:styleId="BodyText" w:type="paragraph">
    <w:name w:val="Body Text"/>
    <w:basedOn w:val="Normal"/>
    <w:link w:val="BodyTextChar"/>
    <w:qFormat/>
    <w:pPr>
      <w:spacing w:after="0" w:before="180" w:line="480" w:lineRule="auto"/>
    </w:pPr>
    <w:rPr>
      <w:rFonts w:ascii="Arial" w:hAnsi="Arial"/>
      <w:color w:val="000000"/>
      <w:sz w:val="22"/>
    </w:rPr>
  </w:style>
  <w:style w:customStyle="1" w:styleId="FirstParagraph" w:type="paragraph">
    <w:name w:val="First Paragraph"/>
    <w:basedOn w:val="BodyText"/>
    <w:next w:val="BodyText"/>
    <w:qFormat/>
    <w:pPr>
      <w:spacing w:line="480" w:lineRule="auto" w:after="0"/>
    </w:pPr>
    <w:rPr>
      <w:rFonts w:ascii="Arial" w:hAnsi="Arial"/>
      <w:color w:val="000000"/>
      <w:sz w:val="22"/>
    </w:rPr>
  </w:style>
  <w:style w:customStyle="1" w:styleId="Compact" w:type="paragraph">
    <w:name w:val="Compact"/>
    <w:basedOn w:val="BodyText"/>
    <w:qFormat/>
    <w:pPr>
      <w:spacing w:after="0" w:before="36" w:line="480" w:lineRule="auto"/>
    </w:pPr>
    <w:rPr>
      <w:rFonts w:ascii="Arial" w:hAnsi="Arial"/>
      <w:color w:val="000000"/>
      <w:sz w:val="22"/>
    </w:rPr>
  </w:style>
  <w:style w:styleId="Title" w:type="paragraph">
    <w:name w:val="Title"/>
    <w:basedOn w:val="Normal"/>
    <w:next w:val="BodyText"/>
    <w:link w:val="TitleChar"/>
    <w:uiPriority w:val="10"/>
    <w:qFormat/>
    <w:rsid w:val="00A10FD9"/>
    <w:pPr>
      <w:spacing w:after="0" w:line="480" w:lineRule="auto"/>
      <w:contextualSpacing/>
      <w:jc w:val="center"/>
    </w:pPr>
    <w:rPr>
      <w:rFonts w:cstheme="majorBidi" w:ascii="Arial" w:hAnsi="Arial"/>
      <w:color w:val="000000"/>
      <w:sz w:val="2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480" w:lineRule="auto" w:after="0"/>
    </w:pPr>
    <w:rPr>
      <w:rFonts w:cstheme="majorBidi" w:ascii="Arial" w:hAnsi="Arial"/>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480" w:lineRule="auto" w:after="0"/>
    </w:pPr>
    <w:rPr>
      <w:rFonts w:ascii="Arial" w:hAnsi="Arial"/>
      <w:color w:val="000000"/>
      <w:sz w:val="22"/>
      <w:szCs w:val="24"/>
    </w:rPr>
  </w:style>
  <w:style w:styleId="Date" w:type="paragraph">
    <w:name w:val="Date"/>
    <w:basedOn w:val="Title"/>
    <w:next w:val="BodyText"/>
    <w:qFormat/>
    <w:pPr>
      <w:keepNext/>
      <w:keepLines/>
      <w:spacing w:line="480" w:lineRule="auto" w:after="0"/>
    </w:pPr>
    <w:rPr>
      <w:rFonts w:ascii="Arial" w:hAnsi="Arial"/>
      <w:color w:val="000000"/>
      <w:sz w:val="22"/>
      <w:szCs w:val="24"/>
    </w:rPr>
  </w:style>
  <w:style w:customStyle="1" w:styleId="AbstractTitle" w:type="paragraph">
    <w:name w:val="Abstract Title"/>
    <w:basedOn w:val="Normal"/>
    <w:next w:val="Abstract"/>
    <w:qFormat/>
    <w:pPr>
      <w:keepNext/>
      <w:keepLines/>
      <w:spacing w:after="0" w:before="300" w:line="480" w:lineRule="auto"/>
      <w:jc w:val="center"/>
    </w:pPr>
    <w:rPr>
      <w:rFonts w:ascii="Arial" w:hAnsi="Arial"/>
      <w:b/>
      <w:color w:val="000000"/>
      <w:sz w:val="22"/>
      <w:szCs w:val="20"/>
    </w:rPr>
  </w:style>
  <w:style w:customStyle="1" w:styleId="Abstract" w:type="paragraph">
    <w:name w:val="Abstract"/>
    <w:basedOn w:val="Normal"/>
    <w:next w:val="BodyText"/>
    <w:qFormat/>
    <w:pPr>
      <w:keepNext/>
      <w:keepLines/>
      <w:spacing w:after="0" w:before="100" w:line="480" w:lineRule="auto"/>
    </w:pPr>
    <w:rPr>
      <w:rFonts w:ascii="Arial" w:hAnsi="Arial"/>
      <w:color w:val="000000"/>
      <w:sz w:val="22"/>
      <w:szCs w:val="20"/>
    </w:rPr>
  </w:style>
  <w:style w:styleId="Bibliography" w:type="paragraph">
    <w:name w:val="Bibliography"/>
    <w:basedOn w:val="Normal"/>
    <w:next w:val="Bibliography"/>
    <w:qFormat/>
    <w:pPr>
      <w:spacing w:line="480" w:lineRule="auto" w:after="0"/>
    </w:pPr>
    <w:rPr>
      <w:rFonts w:ascii="Arial" w:hAnsi="Arial"/>
      <w:color w:val="000000"/>
      <w:sz w:val="22"/>
    </w:rPr>
  </w:style>
  <w:style w:styleId="Heading1" w:type="paragraph">
    <w:name w:val="heading 1"/>
    <w:basedOn w:val="Normal"/>
    <w:next w:val="BodyText"/>
    <w:link w:val="Heading1Char"/>
    <w:uiPriority w:val="9"/>
    <w:qFormat/>
    <w:rsid w:val="00A10FD9"/>
    <w:pPr>
      <w:keepNext/>
      <w:keepLines/>
      <w:spacing w:after="0" w:before="360" w:line="480" w:lineRule="auto"/>
      <w:outlineLvl w:val="0"/>
    </w:pPr>
    <w:rPr>
      <w:rFonts w:cstheme="majorBidi" w:ascii="Arial" w:hAnsi="Arial"/>
      <w:b/>
      <w:color w:val="000000"/>
      <w:sz w:val="22"/>
      <w:szCs w:val="40"/>
    </w:rPr>
  </w:style>
  <w:style w:styleId="Heading2" w:type="paragraph">
    <w:name w:val="heading 2"/>
    <w:basedOn w:val="Normal"/>
    <w:next w:val="BodyText"/>
    <w:link w:val="Heading2Char"/>
    <w:uiPriority w:val="9"/>
    <w:semiHidden/>
    <w:unhideWhenUsed/>
    <w:qFormat/>
    <w:rsid w:val="00A10FD9"/>
    <w:pPr>
      <w:keepNext/>
      <w:keepLines/>
      <w:spacing w:after="0" w:before="160" w:line="480" w:lineRule="auto"/>
      <w:outlineLvl w:val="1"/>
    </w:pPr>
    <w:rPr>
      <w:rFonts w:cstheme="majorBidi" w:ascii="Arial" w:hAnsi="Arial"/>
      <w:b/>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0" w:before="160" w:line="480" w:lineRule="auto"/>
      <w:outlineLvl w:val="2"/>
    </w:pPr>
    <w:rPr>
      <w:rFonts w:cstheme="majorBidi" w:ascii="Arial" w:hAnsi="Arial"/>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0" w:before="80" w:line="480" w:lineRule="auto"/>
      <w:outlineLvl w:val="3"/>
    </w:pPr>
    <w:rPr>
      <w:rFonts w:cstheme="majorBidi" w:ascii="Arial" w:hAnsi="Arial"/>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0" w:before="80" w:line="480" w:lineRule="auto"/>
      <w:outlineLvl w:val="4"/>
    </w:pPr>
    <w:rPr>
      <w:rFonts w:cstheme="majorBidi" w:ascii="Arial" w:hAnsi="Arial"/>
      <w:color w:val="000000"/>
      <w:sz w:val="22"/>
    </w:rPr>
  </w:style>
  <w:style w:styleId="Heading6" w:type="paragraph">
    <w:name w:val="heading 6"/>
    <w:basedOn w:val="Normal"/>
    <w:next w:val="BodyText"/>
    <w:link w:val="Heading6Char"/>
    <w:uiPriority w:val="9"/>
    <w:semiHidden/>
    <w:unhideWhenUsed/>
    <w:qFormat/>
    <w:rsid w:val="00A10FD9"/>
    <w:pPr>
      <w:keepNext/>
      <w:keepLines/>
      <w:spacing w:after="0" w:before="40" w:line="480" w:lineRule="auto"/>
      <w:outlineLvl w:val="5"/>
    </w:pPr>
    <w:rPr>
      <w:rFonts w:cstheme="majorBidi" w:ascii="Arial" w:hAnsi="Arial"/>
      <w:i/>
      <w:iCs/>
      <w:color w:val="000000"/>
      <w:sz w:val="22"/>
    </w:rPr>
  </w:style>
  <w:style w:styleId="Heading7" w:type="paragraph">
    <w:name w:val="heading 7"/>
    <w:basedOn w:val="Normal"/>
    <w:next w:val="BodyText"/>
    <w:link w:val="Heading7Char"/>
    <w:uiPriority w:val="9"/>
    <w:semiHidden/>
    <w:unhideWhenUsed/>
    <w:qFormat/>
    <w:rsid w:val="00A10FD9"/>
    <w:pPr>
      <w:keepNext/>
      <w:keepLines/>
      <w:spacing w:after="0" w:before="40" w:line="480" w:lineRule="auto"/>
      <w:outlineLvl w:val="6"/>
    </w:pPr>
    <w:rPr>
      <w:rFonts w:cstheme="majorBidi" w:ascii="Arial" w:hAnsi="Arial"/>
      <w:color w:val="000000"/>
      <w:sz w:val="22"/>
    </w:rPr>
  </w:style>
  <w:style w:styleId="Heading8" w:type="paragraph">
    <w:name w:val="heading 8"/>
    <w:basedOn w:val="Normal"/>
    <w:next w:val="BodyText"/>
    <w:link w:val="Heading8Char"/>
    <w:uiPriority w:val="9"/>
    <w:semiHidden/>
    <w:unhideWhenUsed/>
    <w:qFormat/>
    <w:rsid w:val="00A10FD9"/>
    <w:pPr>
      <w:keepNext/>
      <w:keepLines/>
      <w:spacing w:after="0" w:line="480" w:lineRule="auto"/>
      <w:outlineLvl w:val="7"/>
    </w:pPr>
    <w:rPr>
      <w:rFonts w:cstheme="majorBidi" w:ascii="Arial" w:hAnsi="Arial"/>
      <w:i/>
      <w:iCs/>
      <w:color w:val="000000"/>
      <w:sz w:val="22"/>
    </w:rPr>
  </w:style>
  <w:style w:styleId="Heading9" w:type="paragraph">
    <w:name w:val="heading 9"/>
    <w:basedOn w:val="Normal"/>
    <w:next w:val="BodyText"/>
    <w:link w:val="Heading9Char"/>
    <w:uiPriority w:val="9"/>
    <w:semiHidden/>
    <w:unhideWhenUsed/>
    <w:qFormat/>
    <w:rsid w:val="00A10FD9"/>
    <w:pPr>
      <w:keepNext/>
      <w:keepLines/>
      <w:spacing w:after="0" w:line="480" w:lineRule="auto"/>
      <w:outlineLvl w:val="8"/>
    </w:pPr>
    <w:rPr>
      <w:rFonts w:cstheme="majorBidi" w:ascii="Arial" w:hAnsi="Arial"/>
      <w:color w:val="000000"/>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100" w:line="480" w:lineRule="auto"/>
      <w:ind w:firstLine="0" w:left="480" w:right="480"/>
    </w:pPr>
    <w:rPr>
      <w:rFonts w:ascii="Arial" w:hAnsi="Arial"/>
      <w:color w:val="000000"/>
      <w:sz w:val="22"/>
    </w:rPr>
  </w:style>
  <w:style w:styleId="FootnoteText" w:type="paragraph">
    <w:name w:val="Footnote Text"/>
    <w:basedOn w:val="Normal"/>
    <w:next w:val="FootnoteText"/>
    <w:uiPriority w:val="9"/>
    <w:unhideWhenUsed/>
    <w:qFormat/>
    <w:pPr>
      <w:spacing w:line="480" w:lineRule="auto" w:after="0"/>
    </w:pPr>
    <w:rPr>
      <w:rFonts w:ascii="Arial" w:hAnsi="Arial"/>
      <w:color w:val="000000"/>
      <w:sz w:val="22"/>
    </w:rPr>
  </w:style>
  <w:style w:styleId="FootnoteBlockText" w:type="paragraph">
    <w:name w:val="Footnote Block Text"/>
    <w:basedOn w:val="FootnoteText"/>
    <w:next w:val="FootnoteText"/>
    <w:uiPriority w:val="9"/>
    <w:unhideWhenUsed/>
    <w:qFormat/>
    <w:pPr>
      <w:spacing w:after="0" w:before="100" w:line="480" w:lineRule="auto"/>
      <w:ind w:firstLine="0" w:left="480" w:right="480"/>
    </w:pPr>
    <w:rPr>
      <w:rFonts w:ascii="Arial" w:hAnsi="Arial"/>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480" w:lineRule="auto"/>
    </w:pPr>
    <w:rPr>
      <w:rFonts w:ascii="Arial" w:hAnsi="Arial"/>
      <w:b/>
      <w:color w:val="000000"/>
      <w:sz w:val="22"/>
    </w:rPr>
  </w:style>
  <w:style w:customStyle="1" w:styleId="Definition" w:type="paragraph">
    <w:name w:val="Definition"/>
    <w:basedOn w:val="Normal"/>
    <w:pPr>
      <w:spacing w:line="480" w:lineRule="auto" w:after="0"/>
    </w:pPr>
    <w:rPr>
      <w:rFonts w:ascii="Arial" w:hAnsi="Arial"/>
      <w:color w:val="000000"/>
      <w:sz w:val="22"/>
    </w:rPr>
  </w:style>
  <w:style w:styleId="Caption" w:type="paragraph">
    <w:name w:val="Caption"/>
    <w:basedOn w:val="Normal"/>
    <w:link w:val="BodyTextChar"/>
    <w:pPr>
      <w:spacing w:after="0" w:before="0" w:line="480" w:lineRule="auto"/>
    </w:pPr>
    <w:rPr>
      <w:rFonts w:ascii="Arial" w:hAnsi="Arial"/>
      <w:i/>
      <w:color w:val="000000"/>
      <w:sz w:val="22"/>
    </w:rPr>
  </w:style>
  <w:style w:customStyle="1" w:styleId="TableCaption" w:type="paragraph">
    <w:name w:val="Table Caption"/>
    <w:basedOn w:val="Caption"/>
    <w:pPr>
      <w:keepNext/>
      <w:spacing w:line="480" w:lineRule="auto" w:after="0"/>
    </w:pPr>
    <w:rPr>
      <w:rFonts w:ascii="Arial" w:hAnsi="Arial"/>
      <w:color w:val="000000"/>
      <w:sz w:val="22"/>
    </w:rPr>
  </w:style>
  <w:style w:customStyle="1" w:styleId="ImageCaption" w:type="paragraph">
    <w:name w:val="Image Caption"/>
    <w:basedOn w:val="Caption"/>
    <w:pPr>
      <w:spacing w:line="480" w:lineRule="auto" w:after="0"/>
    </w:pPr>
    <w:rPr>
      <w:rFonts w:ascii="Arial" w:hAnsi="Arial"/>
      <w:color w:val="000000"/>
      <w:sz w:val="22"/>
    </w:rPr>
  </w:style>
  <w:style w:customStyle="1" w:styleId="Figure" w:type="paragraph">
    <w:name w:val="Figure"/>
    <w:basedOn w:val="Normal"/>
    <w:pPr>
      <w:spacing w:line="480" w:lineRule="auto" w:after="0"/>
    </w:pPr>
    <w:rPr>
      <w:rFonts w:ascii="Arial" w:hAnsi="Arial"/>
      <w:color w:val="000000"/>
      <w:sz w:val="22"/>
    </w:rPr>
  </w:style>
  <w:style w:customStyle="1" w:styleId="CaptionedFigure" w:type="paragraph">
    <w:name w:val="Captioned Figure"/>
    <w:basedOn w:val="Figure"/>
    <w:pPr>
      <w:keepNext/>
      <w:spacing w:line="480" w:lineRule="auto" w:after="0"/>
    </w:pPr>
    <w:rPr>
      <w:rFonts w:ascii="Arial" w:hAnsi="Arial"/>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480" w:lineRule="auto" w:after="0"/>
      <w:outlineLvl w:val="9"/>
    </w:pPr>
    <w:rPr>
      <w:rFonts w:cstheme="majorBidi" w:ascii="Arial" w:hAnsi="Arial"/>
      <w:b w:val="0"/>
      <w:bCs w:val="0"/>
      <w:color w:val="000000"/>
      <w:sz w:val="22"/>
    </w:rPr>
  </w:style>
  <w:style w:type="paragraph" w:customStyle="1" w:styleId="SourceCode">
    <w:name w:val="Source Code"/>
    <w:basedOn w:val="Normal"/>
    <w:link w:val="VerbatimChar"/>
    <w:pPr>
      <w:wordWrap w:val="off"/>
      <w:spacing w:line="480" w:lineRule="auto" w:after="0"/>
    </w:pPr>
    <w:rPr>
      <w:rFonts w:ascii="Arial" w:hAnsi="Arial"/>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hyperlink" Target="https://aclanthology.org/2025.coling-main.84/" TargetMode="External"/><Relationship Id="rId36" Type="http://schemas.openxmlformats.org/officeDocument/2006/relationships/hyperlink" Target="https://alisalman-et-al.github.io/arbiter-JAMIA/results.html" TargetMode="External"/><Relationship Id="rId37" Type="http://schemas.openxmlformats.org/officeDocument/2006/relationships/hyperlink" Target="https://alisalman-et-al.github.io/arbiter-JAMIA/supplement.html" TargetMode="External"/><Relationship Id="rId52" Type="http://schemas.openxmlformats.org/officeDocument/2006/relationships/hyperlink" Target="https://doi.org/10.1016/j.jclinepi.2010.03.002" TargetMode="External"/><Relationship Id="rId41" Type="http://schemas.openxmlformats.org/officeDocument/2006/relationships/hyperlink" Target="https://doi.org/10.1016/j.jclinepi.2020.06.015" TargetMode="External"/><Relationship Id="rId42" Type="http://schemas.openxmlformats.org/officeDocument/2006/relationships/hyperlink" Target="https://doi.org/10.1016/j.jclinepi.2021.09.021" TargetMode="External"/><Relationship Id="rId43" Type="http://schemas.openxmlformats.org/officeDocument/2006/relationships/hyperlink" Target="https://doi.org/10.1016/j.mcpdig.2024.05.023" TargetMode="External"/><Relationship Id="rId51" Type="http://schemas.openxmlformats.org/officeDocument/2006/relationships/hyperlink" Target="https://doi.org/10.1038/s41591-024-03425-5" TargetMode="External"/><Relationship Id="rId44" Type="http://schemas.openxmlformats.org/officeDocument/2006/relationships/hyperlink" Target="https://doi.org/10.1093/jamia/ocv044" TargetMode="External"/><Relationship Id="rId40" Type="http://schemas.openxmlformats.org/officeDocument/2006/relationships/hyperlink" Target="https://doi.org/10.1136/bmj.l4898" TargetMode="External"/><Relationship Id="rId49" Type="http://schemas.openxmlformats.org/officeDocument/2006/relationships/hyperlink" Target="https://doi.org/10.1136/bmjebm-2025-114055" TargetMode="External"/><Relationship Id="rId56" Type="http://schemas.openxmlformats.org/officeDocument/2006/relationships/hyperlink" Target="https://doi.org/10.1186/s12874-022-01649-y" TargetMode="External"/><Relationship Id="rId55" Type="http://schemas.openxmlformats.org/officeDocument/2006/relationships/hyperlink" Target="https://doi.org/10.1186/s12911-019-0814-z" TargetMode="External"/><Relationship Id="rId47" Type="http://schemas.openxmlformats.org/officeDocument/2006/relationships/hyperlink" Target="https://doi.org/10.1371/journal.pone.0353155" TargetMode="External"/><Relationship Id="rId45" Type="http://schemas.openxmlformats.org/officeDocument/2006/relationships/hyperlink" Target="https://doi.org/10.18653/v1/2025.emnlp-demos.2" TargetMode="External"/><Relationship Id="rId48" Type="http://schemas.openxmlformats.org/officeDocument/2006/relationships/hyperlink" Target="https://doi.org/10.2196/70450" TargetMode="External"/><Relationship Id="rId54" Type="http://schemas.openxmlformats.org/officeDocument/2006/relationships/hyperlink" Target="https://doi.org/10.2196/93761" TargetMode="External"/><Relationship Id="rId53" Type="http://schemas.openxmlformats.org/officeDocument/2006/relationships/hyperlink" Target="https://doi.org/10.63528/jebp.2026.00011" TargetMode="External"/><Relationship Id="rId50" Type="http://schemas.openxmlformats.org/officeDocument/2006/relationships/hyperlink" Target="https://doi.org/10.7326/ANNALS-25-00739" TargetMode="External"/><Relationship Id="rId20" Type="http://schemas.openxmlformats.org/officeDocument/2006/relationships/hyperlink" Target="https://github.com/AliSalman-et-al/ARBITER/tree/2848c7926a2acc25402345a42be39d695a99861a" TargetMode="External"/><Relationship Id="rId21" Type="http://schemas.openxmlformats.org/officeDocument/2006/relationships/hyperlink" Target="https://github.com/AliSalman-et-al/ARBITER/tree/2f549ae30f056ff441ea61a04b719968716f2219" TargetMode="External"/><Relationship Id="rId35" Type="http://schemas.openxmlformats.org/officeDocument/2006/relationships/hyperlink" Target="https://github.com/AliSalman-et-al/arbiter-JAMIA"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6" Type="http://schemas.openxmlformats.org/officeDocument/2006/relationships/hyperlink" Target="https://aclanthology.org/2025.coling-main.84/" TargetMode="External"/><Relationship Id="rId36" Type="http://schemas.openxmlformats.org/officeDocument/2006/relationships/hyperlink" Target="https://alisalman-et-al.github.io/arbiter-JAMIA/results.html" TargetMode="External"/><Relationship Id="rId37" Type="http://schemas.openxmlformats.org/officeDocument/2006/relationships/hyperlink" Target="https://alisalman-et-al.github.io/arbiter-JAMIA/supplement.html" TargetMode="External"/><Relationship Id="rId52" Type="http://schemas.openxmlformats.org/officeDocument/2006/relationships/hyperlink" Target="https://doi.org/10.1016/j.jclinepi.2010.03.002" TargetMode="External"/><Relationship Id="rId41" Type="http://schemas.openxmlformats.org/officeDocument/2006/relationships/hyperlink" Target="https://doi.org/10.1016/j.jclinepi.2020.06.015" TargetMode="External"/><Relationship Id="rId42" Type="http://schemas.openxmlformats.org/officeDocument/2006/relationships/hyperlink" Target="https://doi.org/10.1016/j.jclinepi.2021.09.021" TargetMode="External"/><Relationship Id="rId43" Type="http://schemas.openxmlformats.org/officeDocument/2006/relationships/hyperlink" Target="https://doi.org/10.1016/j.mcpdig.2024.05.023" TargetMode="External"/><Relationship Id="rId51" Type="http://schemas.openxmlformats.org/officeDocument/2006/relationships/hyperlink" Target="https://doi.org/10.1038/s41591-024-03425-5" TargetMode="External"/><Relationship Id="rId44" Type="http://schemas.openxmlformats.org/officeDocument/2006/relationships/hyperlink" Target="https://doi.org/10.1093/jamia/ocv044" TargetMode="External"/><Relationship Id="rId40" Type="http://schemas.openxmlformats.org/officeDocument/2006/relationships/hyperlink" Target="https://doi.org/10.1136/bmj.l4898" TargetMode="External"/><Relationship Id="rId49" Type="http://schemas.openxmlformats.org/officeDocument/2006/relationships/hyperlink" Target="https://doi.org/10.1136/bmjebm-2025-114055" TargetMode="External"/><Relationship Id="rId56" Type="http://schemas.openxmlformats.org/officeDocument/2006/relationships/hyperlink" Target="https://doi.org/10.1186/s12874-022-01649-y" TargetMode="External"/><Relationship Id="rId55" Type="http://schemas.openxmlformats.org/officeDocument/2006/relationships/hyperlink" Target="https://doi.org/10.1186/s12911-019-0814-z" TargetMode="External"/><Relationship Id="rId47" Type="http://schemas.openxmlformats.org/officeDocument/2006/relationships/hyperlink" Target="https://doi.org/10.1371/journal.pone.0353155" TargetMode="External"/><Relationship Id="rId45" Type="http://schemas.openxmlformats.org/officeDocument/2006/relationships/hyperlink" Target="https://doi.org/10.18653/v1/2025.emnlp-demos.2" TargetMode="External"/><Relationship Id="rId48" Type="http://schemas.openxmlformats.org/officeDocument/2006/relationships/hyperlink" Target="https://doi.org/10.2196/70450" TargetMode="External"/><Relationship Id="rId54" Type="http://schemas.openxmlformats.org/officeDocument/2006/relationships/hyperlink" Target="https://doi.org/10.2196/93761" TargetMode="External"/><Relationship Id="rId53" Type="http://schemas.openxmlformats.org/officeDocument/2006/relationships/hyperlink" Target="https://doi.org/10.63528/jebp.2026.00011" TargetMode="External"/><Relationship Id="rId50" Type="http://schemas.openxmlformats.org/officeDocument/2006/relationships/hyperlink" Target="https://doi.org/10.7326/ANNALS-25-00739" TargetMode="External"/><Relationship Id="rId20" Type="http://schemas.openxmlformats.org/officeDocument/2006/relationships/hyperlink" Target="https://github.com/AliSalman-et-al/ARBITER/tree/2848c7926a2acc25402345a42be39d695a99861a" TargetMode="External"/><Relationship Id="rId21" Type="http://schemas.openxmlformats.org/officeDocument/2006/relationships/hyperlink" Target="https://github.com/AliSalman-et-al/ARBITER/tree/2f549ae30f056ff441ea61a04b719968716f2219" TargetMode="External"/><Relationship Id="rId35" Type="http://schemas.openxmlformats.org/officeDocument/2006/relationships/hyperlink" Target="https://github.com/AliSalman-et-al/arbiter-JAM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2026-10-23T13:50:19Z</dcterms:created>
  <dcterms:modified xsi:type="dcterms:W3CDTF">2026-10-23T13:50:19Z</dcterms:modified>
</cp:coreProperties>
</file>

<file path=docProps/custom.xml><?xml version="1.0" encoding="utf-8"?>
<Properties xmlns="http://schemas.openxmlformats.org/officeDocument/2006/custom-properties" xmlns:vt="http://schemas.openxmlformats.org/officeDocument/2006/docPropsVTypes"/>
</file>