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Table 2. Agreement (95% CI)</w:t>
      </w:r>
    </w:p>
    <w:tbl xmlns:a="http://schemas.openxmlformats.org/drawingml/2006/main" xmlns:pic="http://schemas.openxmlformats.org/drawingml/2006/picture">
      <w:tblPr>
        <w:tblLayout w:type="fixed"/>
        <w:jc w:val="center"/>
        <w:tblLook w:firstRow="1" w:lastRow="0" w:firstColumn="0" w:lastColumn="0" w:noHBand="0" w:noVBand="1"/>
      </w:tblPr>
      <w:tblGrid>
        <w:gridCol w:w="1644"/>
        <w:gridCol w:w="1644"/>
        <w:gridCol w:w="1644"/>
        <w:gridCol w:w="1644"/>
        <w:gridCol w:w="1644"/>
        <w:gridCol w:w="1644"/>
      </w:tblGrid>
      <w:tr>
        <w:trPr>
          <w:cantSplit/>
          <w:trHeight w:val="496" w:hRule="auto"/>
          <w:tblHeader/>
        </w:trPr>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Reference / population / source</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Weighted κ</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AC2</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Exact agreement</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Sensitivity</w:t>
            </w:r>
          </w:p>
        </w:tc>
        <w:tc>
          <w:tcPr>
            <w:tcBorders>
              <w:bottom w:val="single" w:sz="5" w:space="0" w:color="000000"/>
              <w:top w:val="single" w:sz="8"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true"/>
                <w:u w:val="none"/>
                <w:strike w:val="false"/>
                <w:sz w:val="18"/>
                <w:szCs w:val="18"/>
                <w:color w:val="000000"/>
              </w:rPr>
            </w:pPr>
            <w:r>
              <w:rPr>
                <w:rFonts w:ascii="Arial" w:hAnsi="Arial" w:eastAsia="Arial" w:cs="Arial"/>
                <w:i w:val="false"/>
                <w:b w:val="true"/>
                <w:u w:val="none"/>
                <w:strike w:val="false"/>
                <w:sz w:val="18"/>
                <w:szCs w:val="18"/>
                <w:color w:val="000000"/>
              </w:rPr>
              <w:t xml:space="preserve">Specificity</w:t>
            </w:r>
          </w:p>
        </w:tc>
      </w:tr>
      <w:tr>
        <w:trPr>
          <w:cantSplit/>
          <w:trHeight w:val="912" w:hRule="auto"/>
        </w:trPr>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0.34 (0.26–0.42)</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0.81 (0.78–0.84)</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386/510 (75.7%) (0.72–0.79)</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55/83 (66.3%) (0.57–0.75)</w:t>
            </w:r>
          </w:p>
        </w:tc>
        <w:tc>
          <w:tcPr>
            <w:tcBorders>
              <w:bottom w:val="none" w:sz="0" w:space="0" w:color="000000"/>
              <w:top w:val="single" w:sz="5"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347/427 (81.3%) (0.78–0.85)</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0.44 (0.32–0.56)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0.50 (0.39–0.60)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47/81 (58.0%) (0.49–0.67)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36/39 (92.3%) (0.84–1.00)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23/42 (54.8%) (0.44–0.67)</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(0.21–0.35)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0.82 (0.79–0.85)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395/510 (77.5%) (0.74–0.81)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42/83 (50.6%) (0.40–0.60)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366/427 (85.7%) (0.82–0.89)</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0.42 (0.27–0.56)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0.53 (0.43–0.64)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48/81 (59.3%) (0.51–0.68)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25/39 (64.1%) (0.50–0.78)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32/42 (76.2%) (0.66–0.87)</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427/510 (83.7%) (0.81–0.86)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427/427 (100.0%) (1.00–1.00)</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All-Low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42/81 (51.9%) (0.44–0.59)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42/42 (100.0%) (1.00–1.00)</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0.94 (0.91–0.97)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0.98 (0.97–0.99)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472/485 (97.3%) (0.96–0.99)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118/127 (92.9%) (0.89–0.97)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356/358 (99.4%) (0.99–1.00)</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0.69 (0.62–0.76)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0.91 (0.88–0.93)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425/485 (87.6%) (0.85–0.90)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82/127 (64.6%) (0.56–0.73)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349/358 (97.5%) (0.96–0.99)</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0.06 (−0.03 to 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(−0.04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(−0.05 to 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0.16 (0.07–0.24)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(−0.08 to −0.01)</w:t>
            </w:r>
          </w:p>
        </w:tc>
      </w:tr>
      <w:tr>
        <w:trPr>
          <w:cantSplit/>
          <w:trHeight w:val="91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Published</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Overall</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(−0.11 to 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−0.04 (−0.16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−0.01 (−0.11 to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(0.16–0.40)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−0.21 (−0.33 to −0.10)</w:t>
            </w:r>
          </w:p>
        </w:tc>
      </w:tr>
      <w:tr>
        <w:trPr>
          <w:cantSplit/>
          <w:trHeight w:val="922" w:hRule="auto"/>
        </w:trPr>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Composite</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D1-D5</w:t>
            </w:r>
            <w:r>
              <w:rPr>
                <w:rFonts w:ascii="Arial" w:hAnsi="Arial" w:eastAsia="Arial" w:cs="Arial"/>
                <w:i w:val="false"/>
                <w:b w:val="false"/>
                <w:u w:val="none"/>
                <w:strike w:val="false"/>
                <w:sz w:val="18"/>
                <w:szCs w:val="18"/>
                <w:color w:val="000000"/>
              </w:rPr>
              <w:br/>
            </w:r>
            <w:r>
              <w:rPr>
                <w:rFonts w:ascii="Arial" w:hAnsi="Arial" w:eastAsia="Arial" w:cs="Arial"/>
                <w:i w:val="false"/>
                <w:b w:val="false"/>
                <w:u w:val="none"/>
                <w:strike w:val="false"/>
                <w:sz w:val="18"/>
                <w:szCs w:val="18"/>
                <w:color w:val="000000"/>
              </w:rPr>
              <w:t xml:space="preserve">ARBITER − Unassisted</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0.25 (0.18–0.33)</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0.07 (0.05–0.10)</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0.10 (0.07–0.12)</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0.28 (0.20–0.37)</w:t>
            </w:r>
          </w:p>
        </w:tc>
        <w:tc>
          <w:tcPr>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0.02 (0.01–0.03)</w:t>
            </w:r>
          </w:p>
        </w:tc>
      </w:tr>
      <w:tr>
        <w:trPr>
          <w:cantSplit/>
          <w:trHeight w:val="360" w:hRule="auto"/>
        </w:trPr>
        <w:tc>
          <w:tcPr>
            <w:gridSpan w:val="6"/>
            <w:tcBorders>
              <w:bottom w:val="none" w:sz="0" w:space="0" w:color="FFFFFF"/>
              <w:top w:val="single" w:sz="8"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8"/>
                <w:szCs w:val="18"/>
                <w:color w:val="000000"/>
              </w:rPr>
            </w:pPr>
            <w:r>
              <w:rPr>
                <w:rFonts w:ascii="Arial" w:hAnsi="Arial" w:eastAsia="Arial" w:cs="Arial"/>
                <w:i w:val="false"/>
                <w:b w:val="false"/>
                <w:u w:val="none"/>
                <w:strike w:val="false"/>
                <w:sz w:val="18"/>
                <w:szCs w:val="18"/>
                <w:color w:val="000000"/>
              </w:rPr>
              <w:t xml:space="preserve">Linearly weighted Cohen’s κ and Gwet’s AC2. Exact agreement, sensitivity and specificity are n/N (%); their CI bounds are proportions. Not Low means Some concerns or High. All-Low rule has no variance; only accuracy and specificity are reported. Paired differences are on the original coefficient or proportion scale; — indicates undefined or not applicable. Composite reference: consensus preferred judgement on consensus cells, Published on other cells; 25 split cells excluded (485 cells per arm). Adjudicators could only choose among the three labels offered. Cells where both Sonnet arms matched Published were never adjudicated and are assumed correct. Both features inflate absolute composite values; composite accuracy is not an abstract accuracy claim. CI, confidence interval; 10,000 percentile bootstrap replicates, trials resampled within meta-analysis; seed 20261018.</w:t>
            </w:r>
          </w:p>
        </w:tc>
      </w:tr>
    </w:tbl>
    <w:sectPr>
      <w:pgMar w:header="708" w:bottom="864" w:top="864" w:right="936" w:left="936" w:footer="708"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2026-10-18T17:25:58Z</dcterms:modified>
  <cp:category/>
</cp:coreProperties>
</file>