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 (95% CI)</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 (0.84–0.90)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(0.03–0.07)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(0.06–0.10)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(0.10–0.16)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(95% CI, bounds as proportions).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2026-10-18T17:25:59Z</dcterms:modified>
  <cp:category/>
</cp:coreProperties>
</file>