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Reliability of the reference standard (95% CI)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66"/>
        <w:gridCol w:w="2466"/>
        <w:gridCol w:w="2466"/>
        <w:gridCol w:w="2466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AC2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Exact agreement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vs Adjudicator 2 independent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(0.48–0.68)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(0.61–0.77)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114/154 (74.0%) (0.68–0.80)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vs Adjudicator 2 preferred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(0.57–0.79)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(0.77–0.89)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129/154 (83.8%) (0.79–0.89)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published 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−0.06 (−0.18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34/154 (22.1%) (0.16–0.28)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(0.41–0.62)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(0.57–0.74)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107/154 (69.5%) (0.63–0.76)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 (0.13–0.30)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(0.18–0.38)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69/154 (44.8%) (0.38–0.52)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published 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(−0.18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 (0.04–0.24)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42/154 (27.3%) (0.20–0.34)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(0.73–0.85)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120/154 (77.9%) (0.72–0.84)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Unassisted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(0.19–0.42)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 (0.37–0.53)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76/154 (49.4%) (0.42–0.56)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comparisons use the 154 disputed cells, selected because at least one Sonnet arm differed from Published. These comparisons cannot estimate agreement or published-label accuracy in the full benchmark. Independent judgements preceded blinded label presentation; preferred judgements selected among the three offered labels. Linearly weighted Cohen’s κ and Gwet’s AC2. Exact agreement, sensitivity and specificity are n/N (%); their CI bounds are proportions. Not Low means Some concerns or High. All-Low rule has no variance; only accuracy and specificity are reported. Paired differences are on the original coefficient or proportion scale; — indicates undefined or not applicable.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2026-10-18T17:25:59Z</dcterms:modified>
  <cp:category/>
</cp:coreProperties>
</file>