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Table 2. Conditional blinded-label choices and sensitivities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3354"/>
        <w:gridCol w:w="6510"/>
      </w:tblGrid>
      <w:tr>
        <w:trPr>
          <w:cantSplit/>
          <w:tblHeader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Population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ARBITER, No./total (%) (95% CI)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Agreed choices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53/60 (88%; 80–96)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Expert 1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63/80 (79%; 70–87)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Expert 2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61/80 (76%; 68–85)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All splits counted against ARBITER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53/80 (66%; 58–75)</w:t>
            </w:r>
          </w:p>
        </w:tc>
      </w:tr>
      <w:tr>
        <w:trPr>
          <w:cantSplit/>
        </w:trPr>
        <w:tc>
          <w:tcPr>
            <w:gridSpan w:val="2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Conditional blinded-label choice evaluation includes 80 arm-discordant cells and the 60 for which the experts made an agreed choice; 20 choices split. Expert-specific sensitivities use all 80. The final row counts all 20 splits against ARBITER by assumption, without assigning Unassisted wins. Expert 1 chose neither arm in 4/80 cells; this is distinct from the split-loss assumption. CI, 95%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2026-10-22T17:29:31Z</dcterms:modified>
  <cp:category/>
</cp:coreProperties>
</file>