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2"/>
      </w:pPr>
      <w:r>
        <w:t xml:space="preserve">Contents</w:t>
      </w:r>
    </w:p>
    <w:p>
      <w:pPr>
        <w:pStyle w:val="ManuscriptBody"/>
      </w:pPr>
      <w:r>
        <w:t xml:space="preserve">Methods appendix · Supplementary results · Prompt templates and example · Run provenance</w:t>
      </w:r>
    </w:p>
    <w:p>
      <w:pPr>
        <w:pStyle w:val="ManuscriptBody"/>
      </w:pPr>
      <w:r>
        <w:t xml:space="preserve">eTable 1. AVATAR complete trace</w:t>
      </w:r>
    </w:p>
    <w:p>
      <w:pPr>
        <w:pStyle w:val="ManuscriptBody"/>
      </w:pPr>
      <w:r>
        <w:t xml:space="preserve">eTable 2. Benchmark trials span sixteen meta-analyses</w:t>
      </w:r>
    </w:p>
    <w:p>
      <w:pPr>
        <w:pStyle w:val="ManuscriptBody"/>
      </w:pPr>
      <w:r>
        <w:t xml:space="preserve">eTable 3. Published label distributions by domain</w:t>
      </w:r>
    </w:p>
    <w:p>
      <w:pPr>
        <w:pStyle w:val="ManuscriptBody"/>
      </w:pPr>
      <w:r>
        <w:t xml:space="preserve">eTable 4. Confusion matrices against Published</w:t>
      </w:r>
    </w:p>
    <w:p>
      <w:pPr>
        <w:pStyle w:val="ManuscriptBody"/>
      </w:pPr>
      <w:r>
        <w:t xml:space="preserve">eTable 5. Per-meta-analysis weighted κ</w:t>
      </w:r>
    </w:p>
    <w:p>
      <w:pPr>
        <w:pStyle w:val="ManuscriptBody"/>
      </w:pPr>
      <w:r>
        <w:t xml:space="preserve">eTable 6. Agreement against Published, all sources and domains</w:t>
      </w:r>
    </w:p>
    <w:p>
      <w:pPr>
        <w:pStyle w:val="ManuscriptBody"/>
      </w:pPr>
      <w:r>
        <w:t xml:space="preserve">eTable 7. Paired differences against Published</w:t>
      </w:r>
    </w:p>
    <w:p>
      <w:pPr>
        <w:pStyle w:val="ManuscriptBody"/>
      </w:pPr>
      <w:r>
        <w:t xml:space="preserve">eTable 8. Post hoc: unweighted agreement with published labels is modest</w:t>
      </w:r>
    </w:p>
    <w:p>
      <w:pPr>
        <w:pStyle w:val="ManuscriptBody"/>
      </w:pPr>
      <w:r>
        <w:t xml:space="preserve">eTable 9. Adjudicators usually agreed with models when they disagreed with Published</w:t>
      </w:r>
    </w:p>
    <w:p>
      <w:pPr>
        <w:pStyle w:val="ManuscriptBody"/>
      </w:pPr>
      <w:r>
        <w:t xml:space="preserve">eTable 10. Published labels were usually less severe than the agreed choice</w:t>
      </w:r>
    </w:p>
    <w:p>
      <w:pPr>
        <w:pStyle w:val="ManuscriptBody"/>
      </w:pPr>
      <w:r>
        <w:t xml:space="preserve">eTable 11. Preferred shares among adjudicated arm disagreements: sensitivities</w:t>
      </w:r>
    </w:p>
    <w:p>
      <w:pPr>
        <w:pStyle w:val="ManuscriptBody"/>
      </w:pPr>
      <w:r>
        <w:t xml:space="preserve">eTable 12. Post hoc: preferred shares among adjudicated arm disagreements by strictness</w:t>
      </w:r>
    </w:p>
    <w:p>
      <w:pPr>
        <w:pStyle w:val="ManuscriptBody"/>
      </w:pPr>
      <w:r>
        <w:t xml:space="preserve">eTable 13. Independent and selected ratings: full agreement including AC2</w:t>
      </w:r>
    </w:p>
    <w:p>
      <w:pPr>
        <w:pStyle w:val="ManuscriptBody"/>
      </w:pPr>
      <w:r>
        <w:t xml:space="preserve">eTable 14. Localisation population eligibility</w:t>
      </w:r>
    </w:p>
    <w:p>
      <w:pPr>
        <w:pStyle w:val="ManuscriptBody"/>
      </w:pPr>
      <w:r>
        <w:t xml:space="preserve">eTable 15. Error-localisation classes, both populations</w:t>
      </w:r>
    </w:p>
    <w:p>
      <w:pPr>
        <w:pStyle w:val="ManuscriptBody"/>
      </w:pPr>
      <w:r>
        <w:t xml:space="preserve">eTable 16. Questions that alone changed the rating: frequencies, both populations</w:t>
      </w:r>
    </w:p>
    <w:p>
      <w:pPr>
        <w:pStyle w:val="ManuscriptBody"/>
      </w:pPr>
      <w:r>
        <w:t xml:space="preserve">eTable 17. Unresolved independent answer</w:t>
      </w:r>
    </w:p>
    <w:p>
      <w:pPr>
        <w:pStyle w:val="ManuscriptBody"/>
      </w:pPr>
      <w:r>
        <w:t xml:space="preserve">eTable 18. Exploratory signalling-answer agreement</w:t>
      </w:r>
    </w:p>
    <w:p>
      <w:pPr>
        <w:pStyle w:val="ManuscriptBody"/>
      </w:pPr>
      <w:r>
        <w:t xml:space="preserve">eTable 19. Post hoc: supplied documents and answers in question 5.1 losses</w:t>
      </w:r>
    </w:p>
    <w:p>
      <w:pPr>
        <w:pStyle w:val="ManuscriptBody"/>
      </w:pPr>
      <w:r>
        <w:t xml:space="preserve">eTable 20. Post hoc: rules-only changes make three arm disagreements ties</w:t>
      </w:r>
    </w:p>
    <w:p>
      <w:pPr>
        <w:pStyle w:val="ManuscriptBody"/>
      </w:pPr>
      <w:r>
        <w:t xml:space="preserve">eTable 21. RoB 2 consistency and structural audit, all sources and domains</w:t>
      </w:r>
    </w:p>
    <w:p>
      <w:pPr>
        <w:pStyle w:val="ManuscriptBody"/>
      </w:pPr>
      <w:r>
        <w:t xml:space="preserve">eTable 22. Required question skipped sensitivity</w:t>
      </w:r>
    </w:p>
    <w:p>
      <w:pPr>
        <w:pStyle w:val="ManuscriptBody"/>
      </w:pPr>
      <w:r>
        <w:t xml:space="preserve">eTable 23. Quotation syntax in active justifications</w:t>
      </w:r>
    </w:p>
    <w:p>
      <w:pPr>
        <w:pStyle w:val="ManuscriptBody"/>
      </w:pPr>
      <w:r>
        <w:t xml:space="preserve">eTable 24. Unassisted justification content</w:t>
      </w:r>
    </w:p>
    <w:p>
      <w:pPr>
        <w:pStyle w:val="ManuscriptBody"/>
      </w:pPr>
      <w:r>
        <w:t xml:space="preserve">eTable 25. Time, cost and token use per trial by model</w:t>
      </w:r>
    </w:p>
    <w:p>
      <w:pPr>
        <w:pStyle w:val="ManuscriptBody"/>
      </w:pPr>
      <w:r>
        <w:t xml:space="preserve">eTable 26. API cost reconstruction: estimates and bounds</w:t>
      </w:r>
    </w:p>
    <w:p>
      <w:pPr>
        <w:pStyle w:val="ManuscriptBody"/>
      </w:pPr>
      <w:r>
        <w:t xml:space="preserve">eTable 27. Token reconciliation and compaction diagnostics</w:t>
      </w:r>
    </w:p>
    <w:p>
      <w:pPr>
        <w:pStyle w:val="ManuscriptBody"/>
      </w:pPr>
      <w:r>
        <w:t xml:space="preserve">eTable 28. Evidence and quotation locations for the prior-work comparison</w:t>
      </w:r>
    </w:p>
    <w:p>
      <w:pPr>
        <w:pStyle w:val="ManuscriptBody"/>
      </w:pPr>
      <w:r>
        <w:t xml:space="preserve">eTable 29. Agreement against the composite reference, Sonnet only</w:t>
      </w:r>
    </w:p>
    <w:p>
      <w:pPr>
        <w:pStyle w:val="ManuscriptBody"/>
      </w:pPr>
      <w:r>
        <w:t xml:space="preserve">eTable 30. Paired differences against the composite reference</w:t>
      </w:r>
    </w:p>
    <w:p>
      <w:pPr>
        <w:pStyle w:val="ManuscriptBody"/>
      </w:pPr>
      <w:r>
        <w:t xml:space="preserve">eTable 31. Composite-reference sensitivity estimates by adjudicator</w:t>
      </w:r>
    </w:p>
    <w:p>
      <w:pPr>
        <w:pStyle w:val="ManuscriptBody"/>
      </w:pPr>
      <w:r>
        <w:t xml:space="preserve">eTable 32. Composite-reference paired differences by adjudicator</w:t>
      </w:r>
    </w:p>
    <w:p>
      <w:pPr>
        <w:pStyle w:val="ManuscriptBody"/>
      </w:pPr>
      <w:r>
        <w:t xml:space="preserve">eFigure 1. Agreement with Published varied across meta-analyses</w:t>
      </w:r>
    </w:p>
    <w:p>
      <w:pPr/>
      <w:r>
        <w:br w:type="page"/>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domain outputs; no overrides were recorded. All required active answers in the ARBITER domain histories are present. Unassisted invalid-path sensitivity recursively resolves required invalid answers as N/PN, then NI; off-path answers are not imputed.</w:t>
      </w:r>
    </w:p>
    <w:p>
      <w:pPr>
        <w:pStyle w:val="Titre2"/>
      </w:pPr>
      <w:r>
        <w:t xml:space="preserve">Input parity</w:t>
      </w:r>
    </w:p>
    <w:p>
      <w:pPr>
        <w:pStyle w:val="ManuscriptBody"/>
      </w:pPr>
      <w:r>
        <w:t xml:space="preserve">Both arms received each trial folder as delivered, including the main article, supplements and sources list. For the original 105-trial runs, the Unassisted inputs also included the exact Markdown projection of the registry records shown in the ARBITER run (74 trials), and the 60 protocol and statistical analysis plan PDFs acquired from ClinicalTrials.gov. These inputs were copied from the ARBITER run; nothing was fetched again. For De Waal 2021, the registry record supplied to both arms belongs to a different trial. This shared input error means that registry availability does not establish relevance to the assessed trial. Source: no-kit-sonnet-5.5/README.md.</w:t>
      </w:r>
    </w:p>
    <w:p>
      <w:pPr/>
      <w:r>
        <w:br w:type="page"/>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Rates were frozen from the provider pricing documentation on 18 October 2026. Main-thread assistant events are deduplicated by message identity within turn; synthetic zero-usage events are excluded. Thinking tokens are included in output. Side calls are total recorded model usage minus terminal usage. One-hour side-call cache writes are primary; five-minute writes are a sensitivity. Reconstruction bounds coincide. Routing was global, with no geography multiplier. For each trial, equivalent US$ = (2 × input + 4 × 1-hour cache writes + 2.5 × 5-minute cache writes + 0.1 × cache reads + 10 × output tokens) / 1,000,000, summed over recorded model calls. Runs used a subscription; these equivalents are not subscription expenditure. Harness costs are unusable: unrecognised model and unknown cost basis; retained only as supplementary diagnostics.</w:t>
      </w:r>
    </w:p>
    <w:p>
      <w:pPr>
        <w:pStyle w:val="Titre2"/>
      </w:pPr>
      <w:r>
        <w:t xml:space="preserve">Error localisation</w:t>
      </w:r>
    </w:p>
    <w:p>
      <w:pPr>
        <w:pStyle w:val="ManuscriptBody"/>
      </w:pPr>
      <w:r>
        <w:t xml:space="preserve">Losses are cells where both adjudicators agreed where a source label differs from preferred. A reference adjudicator is usable only when their independent judgement equals the adjudicators’ agreed choice. Primary requires both; sensitivity at least one.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one question alone changed the rating; several questions each changed the rating alone; jointly decisive (all differing replacements reach preferred); no differing questions with complete comparisons; not attributable. The no-discordance class can contain adjudicator-disagreement questions. Reference-judgement departures from their own answers are flagged. Frequencies count all questions that alone changed the rating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the same rule applies to all estimates. Independent signalling-answer agreement uses the earlier exploratory Y/PY, N/PN and NI/NA collapse. Higgins JPT, Savović J, Page MJ, Sterne JAC, editors. Revised Cochrane risk-of-bias tool for randomized trials (RoB 2), 22 August 2019. https://www.riskofbias.info/welcome/rob-2-0-tool/current-version-of-rob-2. Salman A et al. ARBITER 1.0.0, public source release, commit 2f549ae. https://github.com/AliSalman-et-al/ARBITER/tree/2f549ae30f056ff441ea61a04b719968716f2219. Anthropic. Claude API pricing. Accessed 18 October 2026. https://platform.claude.com/docs/en/about-claude/pricing.</w:t>
      </w:r>
    </w:p>
    <w:p>
      <w:pPr>
        <w:pStyle w:val="Titre2"/>
      </w:pPr>
      <w:r>
        <w:t xml:space="preserve">Published-label target matching</w:t>
      </w:r>
    </w:p>
    <w:p>
      <w:pPr>
        <w:pStyle w:val="ManuscriptBody"/>
      </w:pPr>
      <w:r>
        <w:t xml:space="preserve">LABEL-TARGETS.csv links each published label to its review, source table, outcome, time point and contrast, with quoted binding evidence where stated and an explicit inference otherwise. The assessment prompt targets the labelled result rather than automatically the trial primary outcome, with the definition, printed result and locator from the trial report. Among the 102 included trials, 33 targets match an explicitly stated result, 11 match one of several covered outcomes, and 32 match an inferred result; 7 partly match, 9 differ and 10 have unknown binding. These categories are retained rather than treating all targets as exact matches. Twelve published label sets (60 domain labels) cover every outcome taken from a trial; another 10 label sets (50 domain labels) have no identified result, and seven more label sets (35 domain labels) jointly cover pain and disability; thus 29 sets (145 domain labels) do not isolate a single result (19 broad and 10 unknown). Binding was inferred rather than explicitly stated for 62 label sets, overlapping these categories. Source: benchmark README-FOR-ALI.md, LABEL-TARGETS.csv and per-review BINDING.md; label-target-summary.csv recomputes matching categories.</w:t>
      </w:r>
    </w:p>
    <w:p>
      <w:pPr>
        <w:pStyle w:val="Titre2"/>
      </w:pPr>
      <w:r>
        <w:t xml:space="preserve">Dates and training exposure</w:t>
      </w:r>
    </w:p>
    <w:p>
      <w:pPr>
        <w:pStyle w:val="ManuscriptBody"/>
      </w:pPr>
      <w:r>
        <w:t xml:space="preserve">Trial reports span publication years 1996–2025; the 16 source reviews were published in 2025–2026. Years come from TRIAL-SUMMARY.csv and trial-label years where that field is blank; the benchmark README identifies the SANCTUARY report as 2025. Anthropic documents June 2026 as the training-data cut-off for claude-sonnet-5-5 (model documentation, https://platform.claude.com/docs/en/models/sonnet-5-5/overview, and provider help, https://support.claude.com/en/articles/8114494-how-up-to-date-is-claude-s-training-data; checked 19 October 2026). Dates cannot establish whether a report was used in training.</w:t>
      </w:r>
    </w:p>
    <w:p>
      <w:pPr>
        <w:pStyle w:val="Titre2"/>
      </w:pPr>
      <w:r>
        <w:t xml:space="preserve">Adjudication process and primary endpoint</w:t>
      </w:r>
    </w:p>
    <w:p>
      <w:pPr>
        <w:pStyle w:val="ManuscriptBody"/>
      </w:pPr>
      <w:r>
        <w:t xml:space="preserve">Two blinded adjudicators used no AI. Each rated the domain from the supplied documents and froze the independent rating before seeing any label. They then saw only the three labels, randomised in order for each cell, and chose the preferred label with a reason. They did not see model rationales or quotations. The primary endpoint is the share of adjudicated arm-disagreement cells where the adjudicators preferred ARBITER’s rating. Independent-rating paired differences added post hoc compare ARBITER and Unassisted agreement with the same frozen independent rating on all 154 disputed cells, using the shared stratified trial-cluster bootstrap.</w:t>
      </w:r>
    </w:p>
    <w:p>
      <w:pPr>
        <w:pStyle w:val="Titre2"/>
      </w:pPr>
      <w:r>
        <w:t xml:space="preserve">Limitations</w:t>
      </w:r>
    </w:p>
    <w:p>
      <w:pPr>
        <w:pStyle w:val="ManuscriptBody"/>
      </w:pPr>
      <w:r>
        <w:t xml:space="preserve">Adjudication selected cells on disagreement, so preferred shares are subject to discrepant-analysis selection and do not estimate full-benchmark accuracy. Adjudicators chose only among the offered labels; cells where both arms matched Published were not audited. Labels alone may have revealed an arm, although this risk was low because rationales and quotations were hidden. Each arm ran once; workflow, prompt and runtime contributions cannot be separated. Reports or reviews may have appeared in training before the documented June 2026 cut-off. Whether quotations support the answers was not assessed. Overall was not adjudicated. Some label-target bindings were inferred, broad or mismatched; disagreement with a published label may partly reflect outcome mismatch rather than a different judgement.</w:t>
      </w:r>
    </w:p>
    <w:p>
      <w:pPr>
        <w:sectPr>
          <w:pgMar w:header="708" w:bottom="864" w:top="864" w:right="936" w:left="936" w:footer="708" w:gutter="0"/>
          <w:pgSz w:h="16834" w:w="11909" w:orient="portrait"/>
          <w:type w:val="continuous"/>
          <w:cols/>
        </w:sectPr>
      </w:pPr>
    </w:p>
    <w:p>
      <w:pPr>
        <w:pStyle w:val="Titre2"/>
      </w:pPr>
      <w:r>
        <w:t xml:space="preserve">eTable 1. AVATAR complete trace</w:t>
      </w:r>
    </w:p>
    <w:p>
      <w:pPr>
        <w:pStyle w:val="Titre2"/>
      </w:pPr>
      <w:r>
        <w:t xml:space="preserve">Part A. Answers and judgements</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1152"/>
        <w:gridCol w:w="2088"/>
        <w:gridCol w:w="3888"/>
        <w:gridCol w:w="1224"/>
        <w:gridCol w:w="1584"/>
        <w:gridCol w:w="3168"/>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Evidence handles (type)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Justification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Unknowns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Counterevidence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Unassisted</w:t>
            </w:r>
          </w:p>
        </w:tc>
      </w:tr>
      <w:tr>
        <w:trPr>
          <w:trHeight w:val="696"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D1 judgement / rationale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original AVATAR paper states the assignment was computer-generated and stratified by centre using a permuted-block sequence with variable block size, which is a random component.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were randomized using a web-based interactive response system, a central remote allocation method independent of enrolment staff. Variable block size limits predictability of the last allocations in a block.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central system was run by a unit independent of enrolling staff is not stated explicitly.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 (direct support); eh_58abdac52262aa33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sizes were 78 vs 79. Of about 25 baseline comparisons in Table 2, only age (P=.02) and haemoglobin (P=.01) were nominally significant, and diabetes was P=.07. The age difference is 1 year in medians. This is compatible with chance and none approaches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1: Diabetes was less common in early surgery (17.9% vs 29.1%), which could favour surgery, but P=.07 is compatible with chance and the 2022 paper attributes it to chance.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D2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 eh_3ce4199af9d487f3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lists masking as NONE, and the comparison is surgical valve replacement versus watchful waiting, which cannot be hidden from participants.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Open-label surgery versus conservative care means clinicians and surgeons delivering care knew the assignment. Allocation was concealed until assignment, but blinding afterwards was impossible.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 (direct support); eh_22d01d9384e1a677 (context); eh_4b5761bf573cc287 (context); eh_05e667d2d41d3858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Reasons for declining surgery are not described in detail.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3: The authors note pandemic-related follow-up substitution by phone and lengthened AVR delays could have increased clinical risk. These arose from the pandemic, not the trial context, and no deaths occurred while awaiting scheduled surgery in the conservative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eh_c8e0958840636206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analyses were intention-to-treat as randomized, and all 157 patients were included. One early-surgery patient lost to follow-up was censored and still analysed.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 157 patients were analysed. One patient lost to follow-up was censored.</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Death is an objective outcome. Assessors were not blinded to allocation, but this cannot plausibly bias an all-cause death count.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Both arms followed the same protocol schedule, and COVID-related phone follow-up applied to patients regardless of arm. Death is hard to miss, so any difference in contact opportunities (e.g. surgery visits) is unlikely to change ascertainment of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vital status was verified from registries in both arms is not stated.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trial was open-label (registry masking: none), and the report states that DSMB members were not blinded to allocation when reviewing events. Site investigators recording deaths were also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(inference)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an observer-reported outcome that involves no judgement, so knowledge of the intervention is unlikely to influence its assessment, even though the assessors were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D5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information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 (context); eh_7ad155913c1c5826 (context); eh_30fa222ec5523dcc (context); eh_7961ea6680167af2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published protocol listed time to all-cause death and its Cox analysis, and its date relative to unblinded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eh_d54a2600ddc753b3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eh_f625637d366df2a0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Any domain Some concerns, with no High domain: Overall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p>
        </w:tc>
      </w:tr>
    </w:tbl>
    <w:p>
      <w:pPr>
        <w:pStyle w:val="Titre2"/>
      </w:pPr>
      <w:r>
        <w:t xml:space="preserve">Part B. Evidence records</w:t>
      </w:r>
    </w:p>
    <w:tbl xmlns:a="http://schemas.openxmlformats.org/drawingml/2006/main" xmlns:pic="http://schemas.openxmlformats.org/drawingml/2006/picture">
      <w:tblPr>
        <w:tblLayout w:type="fixed"/>
        <w:jc w:val="center"/>
        <w:tblLook w:firstRow="1" w:lastRow="0" w:firstColumn="0" w:lastColumn="0" w:noHBand="0" w:noVBand="1"/>
      </w:tblPr>
      <w:tblGrid>
        <w:gridCol w:w="2088"/>
        <w:gridCol w:w="2016"/>
        <w:gridCol w:w="576"/>
        <w:gridCol w:w="792"/>
        <w:gridCol w:w="1440"/>
        <w:gridCol w:w="7776"/>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Handle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Page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Lines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Source-version hash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Full verbatim quote</w:t>
            </w:r>
          </w:p>
        </w:tc>
      </w:tr>
      <w:tr>
        <w:trPr>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eh_05e667d2d41d3858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76–83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eh_22d01d9384e1a677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eh_4b5761bf573cc287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eh_58abdac52262aa33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 mellitus 14 (17.9%) 23 (29.1%) .07</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eh_7961ea6680167af2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Avatar trial protocol -Amendment to surgical delays-   Aortic Valve Replacement Versus Conservative Treatment in Asymptomatic Severe Aortic Stenosis (AVATAR trial) NCT number : NCT02436655. Date of amendment: 04.01.2021</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eh_7ad155913c1c5826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Masking info - Masking: NONE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eh_af1340e6c28a70eb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eh_f625637d366df2a0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Illustrative all-cause-death assessment (Banovic 2024). Part A gives all questions, answers, evidence types, justifications, unknowns, counterevidence and Unassisted rationales. — means none recorded in those fields; inactive questions follow branching. Part B preserves 16 archived records (15 cited by current answers). Quotes and rationales are verbatim; quote line breaks display as spaces. Source locations and hashes identify captured versions. References within quotations concern original documents. Full trace: analysis/data-derived/avatar-trace.json.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1909" w:w="16834" w:orient="landscape"/>
          <w:type w:val="continuous"/>
          <w:cols/>
        </w:sectPr>
      </w:pPr>
    </w:p>
    <w:p>
      <w:pPr>
        <w:pStyle w:val="Titre2"/>
      </w:pPr>
      <w:r>
        <w:t xml:space="preserve">eTable 2. Benchmark trials span sixteen meta-analyses</w:t>
      </w:r>
    </w:p>
    <w:tbl xmlns:a="http://schemas.openxmlformats.org/drawingml/2006/main" xmlns:pic="http://schemas.openxmlformats.org/drawingml/2006/picture">
      <w:tblPr>
        <w:tblLayout w:type="fixed"/>
        <w:jc w:val="center"/>
        <w:tblLook w:firstRow="1" w:lastRow="0" w:firstColumn="0" w:lastColumn="0" w:noHBand="0" w:noVBand="1"/>
      </w:tblPr>
      <w:tblGrid>
        <w:gridCol w:w="2102"/>
        <w:gridCol w:w="1656"/>
        <w:gridCol w:w="2765"/>
        <w:gridCol w:w="576"/>
        <w:gridCol w:w="2160"/>
        <w:gridCol w:w="77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Journal and year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 D1–D5 labels</w:t>
            </w:r>
            <w:r>
              <w:rPr>
                <w:rFonts w:ascii="Arial" w:hAnsi="Arial" w:eastAsia="Arial" w:cs="Arial"/>
                <w:i w:val="false"/>
                <w:b w:val="true"/>
                <w:u w:val="none"/>
                <w:strike w:val="false"/>
                <w:sz w:val="18"/>
                <w:szCs w:val="18"/>
                <w:color w:val="000000"/>
              </w:rPr>
              <w:br/>
            </w:r>
            <w:r>
              <w:rPr>
                <w:rFonts w:ascii="Arial" w:hAnsi="Arial" w:eastAsia="Arial" w:cs="Arial"/>
                <w:i w:val="false"/>
                <w:b w:val="true"/>
                <w:u w:val="none"/>
                <w:strike w:val="false"/>
                <w:sz w:val="18"/>
                <w:szCs w:val="18"/>
                <w:color w:val="000000"/>
              </w:rPr>
              <w:t xml:space="preserve">(Low/SC/High)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given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 / 3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 Am Coll Cardiol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Diabetes Endocrinol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 / 4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 Infect Dis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 J Am Soc Nephrol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5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Neurol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 7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Hum Reprod Update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 10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Oncol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 J Sports Med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 3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Pediatr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 6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Psychiatry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 / 6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Respir Med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 / 0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Rheumatol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 23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 J Anaesth 2025</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2 / 3</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 / 69 / 14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 / 102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trials; SC, Some concerns. Overall given indicates availability of published Overall labels.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2880"/>
        <w:gridCol w:w="720"/>
        <w:gridCol w:w="922"/>
        <w:gridCol w:w="922"/>
        <w:gridCol w:w="922"/>
        <w:gridCol w:w="922"/>
        <w:gridCol w:w="92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D1–D5 cell gives Low / Some concerns / High counts; 102 trials. Source journals and years are in the preceding benchmark eTable.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Confusion matrices against Published</w:t>
      </w:r>
    </w:p>
    <w:p>
      <w:pPr>
        <w:pStyle w:val="Titre2"/>
      </w:pPr>
      <w:r>
        <w:t xml:space="preserve">ARBITER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ARBITER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(continued). Confusion matrices against Published</w:t>
      </w:r>
    </w:p>
    <w:p>
      <w:pPr>
        <w:pStyle w:val="Titre2"/>
      </w:pPr>
      <w:r>
        <w:t xml:space="preserve">ARBITER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(continued). Confusion matrices against Published</w:t>
      </w:r>
    </w:p>
    <w:p>
      <w:pPr>
        <w:pStyle w:val="Titre2"/>
      </w:pPr>
      <w:r>
        <w:t xml:space="preserve">Unassisted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(continued). Confusion matrices against Published</w:t>
      </w:r>
    </w:p>
    <w:p>
      <w:pPr>
        <w:pStyle w:val="Titre2"/>
      </w:pPr>
      <w:r>
        <w:t xml:space="preserve">Unassisted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5. Per-meta-analysis weighted κ</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3096"/>
        <w:gridCol w:w="2592"/>
        <w:gridCol w:w="259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ACL, anterior cruciate ligament; CDK4/6, cyclin-dependent kinases 4 and 6; eGFR, estimated glomerular filtration rate; GLP-1, glucagon-like peptide-1; HER2, human epidermal growth factor receptor 2; HR, hormone receptor; IgA, immunoglobulin A; SGLT2, sodium-glucose cotransporter 2. Weighted κ (95% CI). eFigure 1 displays the defined nondegenerate estimates. A coefficient with no variance, or a degenerate bootstrap interval, is shown as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eFigure 1. Agreement with Published varied across meta-analyses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Specialty and topic identify each meta-analysis. Descriptive estimates only; no statistical tests. CI, confidence interval; 10,000 percentile bootstrap replicates, trials resampled within meta-analysis; seed 20261018.</w:t>
      </w:r>
    </w:p>
    <w:p>
      <w:pPr/>
      <w:r>
        <w:br w:type="page"/>
      </w:r>
    </w:p>
    <w:p>
      <w:pPr>
        <w:pStyle w:val="Titre2"/>
      </w:pPr>
      <w:r>
        <w:t xml:space="preserve">eTable 6. Agreement against Published, all sources and domains</w:t>
      </w:r>
    </w:p>
    <w:p>
      <w:pPr>
        <w:pStyle w:val="Titre2"/>
      </w:pPr>
      <w:r>
        <w:t xml:space="preserve">ARBITER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1584"/>
        <w:gridCol w:w="1584"/>
        <w:gridCol w:w="1872"/>
        <w:gridCol w:w="2016"/>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(continued). Agreement against Published, all sources and domains</w:t>
      </w:r>
    </w:p>
    <w:p>
      <w:pPr>
        <w:pStyle w:val="Titre2"/>
      </w:pPr>
      <w:r>
        <w:t xml:space="preserve">Unassisted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1584"/>
        <w:gridCol w:w="1584"/>
        <w:gridCol w:w="1872"/>
        <w:gridCol w:w="2016"/>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(continued). Agreement against Published, all sources and domains</w:t>
      </w:r>
    </w:p>
    <w:p>
      <w:pPr>
        <w:pStyle w:val="Titre2"/>
      </w:pPr>
      <w:r>
        <w:t xml:space="preserve">All-Low rule</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1584"/>
        <w:gridCol w:w="1584"/>
        <w:gridCol w:w="1872"/>
        <w:gridCol w:w="2016"/>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7.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(−16.7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(−2.6 to 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(−9.8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(−26.7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(−11.5 to 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(13.6–47.6)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(−10.5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(−6.6 to 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(−15.7 to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(11.8–52.9)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(−22.0 to −5.0)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8. Post hoc: unweighted agreement with published labels is modest</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(0.18–0.53)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(−0.16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(0.23–0.51)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(0.30–0.77)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(0.20–0.54)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(−0.11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(0.13–0.55)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(0.09–0.42)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(0.17–0.47)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Unweighted Cohen’s κ and exact agreement against published review labels, by domain and Overall. κ here is unweighted; exact agreement uses labelled trials.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9. Adjudicators usually agreed with models when they disagreed with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 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sources use the same model. Figure 4B uses disagreements where both adjudicators agreed as the denominator; cells where adjudicators split are displayed separately. Adjudicators agreed with it means their agreed choice equals the source label; Published upheld means their agreed choice equals the published review label; Other label means neither. Count is the outcome count; Agreed n excludes divided decisions and All n includes them.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Published labels were usually less severe than the agreed choice</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Eligible cells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review label relative to the adjudicators’ agreed choice, on the 129 ratings where both adjudicators agreed. Directions compare severity on Low &lt; Some concerns &lt; High. Selected disputed ratings cannot estimate full-benchmark accuracy.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11. Preferred shares among adjudicated arm disagreements: sensitivities</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66.7–83.3)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11.7–28.9)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72.3–87.2)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11.6–26.3)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58.7–76.3)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3.5–15.0)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16.0–31.3)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Fractions are adjudicated arm disagreements where the named rating was preferred / all adjudicated arm disagreements in that analysis. Consensus is primary and includes only cells with the same choice from both adjudicators; each single-adjudicator analysis includes cells where adjudicators split. Split cells are forced ARBITER losses in the split sensitivity; Neither includes these forced losses.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12. Post hoc: preferred shares among adjudicated arm disagreements by strictness</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stricter than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 (97.8%; 92.7–100.0)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stricter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 (2.2%; 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stricter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lenient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10/17 (58.8%; 35.7–80.0)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lenient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 (35.3%; 14.3–57.9)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lenient than 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 (5.9%; 0.0–18.2)</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analysis among adjudicated arm disagreements where both adjudicators agreed, stratified by ARBITER severity relative to Unassisted. Fractions are cells where the named rating was preferred / cells in that stratum.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13. Independent and selected ratings: full agreement including AC2</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independent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(0.48–0.68)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(0.61–0.77)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114/154 (74.0%; 68.2–79.9)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preferred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(0.57–0.79)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(0.77–0.89)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129/154 (83.8%; 78.6–88.9)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(−0.17 to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(−0.18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34/154 (22.1%; 15.8–28.5)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(0.57–0.74)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107/154 (69.5%; 62.7–76.0)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69/154 (44.8%; 38.1–51.6)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(−0.18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(0.04–0.24)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42/154 (27.3%; 20.4–34.3)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120/154 (77.9%; 71.7–84.0)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(0.19–0.42)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(0.37–0.53)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76/154 (49.4%; 42.2–56.5)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 disputed cells per comparison, selected because at least one Sonnet arm differed from the published review label. Independent ratings preceded label presentation; selected ratings chose among three offered labels. κ and AC2 are linearly weighted; raw agreement is n/N (x.x%; 95% CI a–b). This selected population cannot estimate full-benchmark agreement.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14.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Ratings not chosen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 eligible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the adjudicators’ agreed choice; sensitivity requires at least one. Published losses lack signalling answers.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15. Error-localisation classes,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4680"/>
        <w:gridCol w:w="187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losing cells. First applicable class is assigned; classes sum to eligible losses. No-discordance can include adjudicator disagreements, flagged separately.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16. Questions that alone changed the rating: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936"/>
        <w:gridCol w:w="3528"/>
        <w:gridCol w:w="1656"/>
        <w:gridCol w:w="165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questions that alone changed the rating; all 22 questions are retained. A cell may contribute several. Jointly decisive sets contribute none. Short question texts follow the 2019 guidance; D2 uses effect of assignment.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17.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1224"/>
        <w:gridCol w:w="1080"/>
        <w:gridCol w:w="2736"/>
        <w:gridCol w:w="273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Recorded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Parsing 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qualified answer is preserved without selecting a time point. This cell is outside both localisation populations because neither independent judgement equals the adjudicators’ agreed choice.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Exploratory signalling-answer agreement</w:t>
      </w:r>
    </w:p>
    <w:p>
      <w:pPr>
        <w:pStyle w:val="Titre2"/>
      </w:pPr>
      <w:r>
        <w:t xml:space="preserve">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57.9–93.8)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23.5–60.9)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81.0–97.6)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53.8–81.0)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87.8–100.0)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65.7–88.6)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44.7–70.6)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30.0–55.6)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45.2–77.4)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80.0–100.0)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43.2–75.0)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29.2–61.5)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34.5–65.8)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20.7–51.5)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11.1–56.2)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73.8–90.2)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29.8–55.0)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34.1–58.3)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22.5–45.2)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4.8–22.5)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0.0–13.6)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(continued). Exploratory signalling-answer agreement</w:t>
      </w:r>
    </w:p>
    <w:p>
      <w:pPr>
        <w:pStyle w:val="Titre2"/>
      </w:pPr>
      <w:r>
        <w:t xml:space="preserve">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47.4–85.7)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88.2–100.0)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54.3–80.0)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80.6–97.6)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51.7–77.8)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52.8–82.8)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46.9–78.1)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36.0–67.9)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60.6–88.0)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19.4–52.8)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25.0–69.2)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61.0–85.1)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23.1–48.7)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80.0–96.1)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57.1–82.9)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64.1–86.0)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59.1–82.6)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19. Post hoc: supplied documents and answers in question 5.1 losses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Registry, protocol or SAP supplied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mentions these documents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Adjudicators’ answer</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Allen et al., 2014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Amini et al.,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Apalla et al.,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Arezzo et al., 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ASCET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Attal et al.,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AWARD-1,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Banovic 2024 (AVATAR)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Bente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 Waal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DURATION-8,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Einarsson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El-Khuffash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GetGoal-Duo1,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GETGOAL-F1,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Levin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Potsiurko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TESTING</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description of 18 primary Unassisted losses where question 5.1 alone changed the rating. Supplied means a bundle-inventoried registry, protocol or SAP; relevance/timing are not implied. De Waal’s supplied registry is for another trial. Mentions include negated mentions in the Unassisted 5.1 justification. Both adjudicators agreed on each answer. Full justifications and inventories: question51-mechanism.csv. Y, yes; PY, probably yes; NI, no information.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Post hoc: rules-only changes make three arm disagreements ties</w:t>
      </w:r>
    </w:p>
    <w:p>
      <w:pPr>
        <w:pStyle w:val="Titre2"/>
      </w:pPr>
      <w:r>
        <w:t xml:space="preserve">Changed ratings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Recomputed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 2021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Dian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Gupta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Sung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Castoldi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Ibrahim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Stopdapt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Albert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Ashar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Levin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Bendix 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Boedt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Fulop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Abbasi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Aboelfadl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Attal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AWARD-CHN3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Baillard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Dian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Envision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Grant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Jindani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Stopdapt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Sung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Three of 62 adjudicated arm disagreements changed to ARBITER’s preferred rating; 59 were unchanged. Only violations are recomputed from Unassisted answers; invalid paths stay as reported. The original denominator is retained. Three new ties credit both arms, so preferred shares overlap. Weighted κ;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Post hoc: rules-only changes make three arm disagreements ties</w:t>
      </w:r>
    </w:p>
    <w:p>
      <w:pPr>
        <w:pStyle w:val="Titre2"/>
      </w:pPr>
      <w:r>
        <w:t xml:space="preserve">Preferred shares on original adjudicated arm disagreements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Version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10/62 (16.1%; 8.5–24.6)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Three of 62 adjudicated arm disagreements changed to ARBITER’s preferred rating; 59 were unchanged. Only violations are recomputed from Unassisted answers; invalid paths stay as reported. The original denominator is retained. Three new ties credit both arms, so preferred shares overlap. Weighted κ;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Post hoc: rules-only changes make three arm disagreements ties</w:t>
      </w:r>
    </w:p>
    <w:p>
      <w:pPr>
        <w:pStyle w:val="Titre2"/>
      </w:pPr>
      <w:r>
        <w:t xml:space="preserve">Agreement with published labels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Version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385/510 (75.5%; 72.0–78.8)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(0.17–0.50)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(−0.09 to 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(0.09–0.53)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90/102 (88.2%; 83.3–93.1)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(0.02–0.33)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 57.8–73.5)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Three of 62 adjudicated arm disagreements changed to ARBITER’s preferred rating; 59 were unchanged. Only violations are recomputed from Unassisted answers; invalid paths stay as reported. The original denominator is retained. Three new ties credit both arms, so preferred shares overlap. Weighted κ;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Post hoc: rules-only changes make three arm disagreements ties</w:t>
      </w:r>
    </w:p>
    <w:p>
      <w:pPr>
        <w:pStyle w:val="Titre2"/>
      </w:pPr>
      <w:r>
        <w:t xml:space="preserve">Agreement with the adjudicators’ agreed choice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Version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69/129 (53.5%; 46.0–60.7)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64/129 (49.6%; 41.7–57.4)</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Three of 62 adjudicated arm disagreements changed to ARBITER’s preferred rating; 59 were unchanged. Only violations are recomputed from Unassisted answers; invalid paths stay as reported. The original denominator is retained. Three new ties credit both arms, so preferred shares overlap. Weighted κ;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21. RoB 2 consistency and structural audit,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2064"/>
        <w:gridCol w:w="2064"/>
        <w:gridCol w:w="20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citing ≥1 supporting passage or 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passes the independent verifier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text linked to its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Image regions linked to their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Proposed judgements determine ARBITER domain consistency; adopted overrides are separate. Overall exact worst-domain agreement and permitted escalation are separate. Evidence coverage uses active signalling answers as the denominator and answers citing at least one evidence record as the numerator. Unassisted and Published evidence traces are unavailable. Binding and independent verification are structural checks, not clinical correctness. Visual transcriptions are model-written and not checked against images.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22. Required question skipped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violations (n)</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these are counts, not new assessments.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1.1–3.5)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active answers / all active answers. Paired double quotes enclose at least five words. Syntax is not verification and understates ARBITER bundle-based grounding.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Answer-code-only / exported fields (%)</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1344/1459 (92.1%)</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Codes are Y, PY, PN, N, NI or NA. This describes exported fields without inferring absent reasoning.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25. Time, cost and token use per trial by model</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880"/>
        <w:gridCol w:w="1800"/>
        <w:gridCol w:w="1800"/>
        <w:gridCol w:w="20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Model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System runtime (min/trial)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API list-price equivalent (US$/trial)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trials per arm; per-trial median [IQR] and paired mean ARBITER minus Unassisted difference (95% CI). US$ denotes API list-price equivalent; runs used a subscription. Thinking is included in output; eMethods give the reconstruction formula and rates.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26. API cost reconstruction: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total (USD)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median per trial (USD)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Reconstruction bounds are not sampling CIs. Five-minute side-call cache writes are a sensitivity. Harness figures are unusable: unrecognised model and unknown cost basis.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27.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input tokens (n)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 with prompts &gt;100,000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counts above terminal counts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turns without compaction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Token totals across trials. Terminal minus request is signed, including retry residuals. Side calls are total model usage minus terminal usage; output already includes thinking.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Evidence and quotation locations for the prior-work comparison</w:t>
      </w:r>
    </w:p>
    <w:tbl xmlns:a="http://schemas.openxmlformats.org/drawingml/2006/main" xmlns:pic="http://schemas.openxmlformats.org/drawingml/2006/picture">
      <w:tblPr>
        <w:tblLayout w:type="fixed"/>
        <w:jc w:val="center"/>
        <w:tblLook w:firstRow="1" w:lastRow="0" w:firstColumn="0" w:lastColumn="0" w:noHBand="0" w:noVBand="1"/>
      </w:tblPr>
      <w:tblGrid>
        <w:gridCol w:w="1512"/>
        <w:gridCol w:w="6408"/>
        <w:gridCol w:w="19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1128"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Marshall 2016]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No; Enforcement — No; Agent — No: “Support Vector Machine” — Methods, Machine-Learning Approach: learned document/sentence classifiers, not official decision-rule execution or a tool-calling agent. Three classifiers use held-out trial reports; model internals differ.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Registry/protocol — No: “Linking with this dataset may yield better performance.” — Discussion, selective reporting limitation: protocol/registry linkage is future work; current models use trial-publication text.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Identical inputs — Yes; Fixed-model comparison — No: “test data” — Evaluation, Task 1: the held-out duplicate-assessment trial set is used across three classifier variants. This compares different classifiers, not the same model with/without an assessment workflow.</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Reference; Independent reference — Partly: “blinded expert panel” — Introduction and Evaluation: historical independent Cochrane assessments supply RoB labels; newly recruited blinded experts assess supporting-text relevance only. No newly adjudicated RoB reference is implied.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PMC4713900, Methods and Evaluation.</w:t>
            </w:r>
          </w:p>
        </w:tc>
      </w:tr>
      <w:tr>
        <w:trPr>
          <w:cantSplit/>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Eisele-Metzger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Rule checks — Partly: “checked the 100 overall judgements” — Methods, Data analysis: overall-rule check only; 2/100 violations; not signalling-answer/domain conformance.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reference — Partly: “We reviewed all ‘two-level discrepancies’” — Methods, Data analysis: unblinded author review against sources, not an independent panel or replacement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PMC12527486, Methods.</w:t>
            </w:r>
          </w:p>
        </w:tc>
      </w:tr>
      <w:tr>
        <w:trPr>
          <w:cantSplit/>
          <w:trHeight w:val="11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Huang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Partly: “using Excel based on the RoB2 decision algorithm” — Discussion, Principal Findings: secondary spreadsheet derivation; executable formulas/automation are not established.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Rule checks — Partly: “investigated the discrepancies” — Methods, Statistical Analysis: direct versus algorithm-derived judgments compared; no violation count/rate.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reference — Yes: “initially conducted independent judgments” — Methods, Establishment of the Criterion Standard: three trained reviewers, then consensus.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Registry/protocol — No: “excluding Multimedia Appendices and protocols” — Discussion, Principal Findings; Limitations additionally excludes registration documents. Protocol availability is metadata, not delivery of a protocol.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PMC12238788, Methods and Discussion.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Lai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Partly: “manually corrected based on research team consensus” — Methods, Establishment of the Reference Standard; Results sensitivity analysis: corrections to Toouli assessments, not a new blinded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PMC13614218, Methods and Results.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Nyrhi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Registry/protocol — Yes: “PDF-versions of their protocols when available” — Methods, Prompt development and standardisation: available protocols supplied; DeepSeek received copied protocol text (eAppendix 1). Missing protocols for some trials do not turn documented delivery into Partly; the column does not require a protocol for every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PMC13054287, Methods; eAppendix 1.</w:t>
            </w:r>
          </w:p>
        </w:tc>
      </w:tr>
      <w:tr>
        <w:trPr>
          <w:cantSplit/>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Gandhi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Partly: “web-browsing capabilities enabled” — Methods, Data collection and RoB assessment: capability enabled; actual external searches not logged/quantified.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reference — Yes: “masked to the OSRA’s assessments” — Same section: three reviewers independently re-rated all 50 trials; consensus/fourth reviewer resolved their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PMC13334998, Methods.</w:t>
            </w:r>
          </w:p>
        </w:tc>
      </w:tr>
      <w:tr>
        <w:trPr>
          <w:cantSplit/>
          <w:trHeight w:val="1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“implemented in code” — Methods, RoB 2.0 Algorithm Implementation: authors recomputed domain judgments.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Enforcement — Partly: “official flowchart aggregation logic” — Methods, Study Design and Data: ROBoto2 component only; general Gemini/Gems emit ratings.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Rule checks — Yes: “conformance was 43%” — Results, Algorithm Conformance and Internal Consistency: 43%, 51%, 60% across configurations; skip logic also checked.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Agent — Partly: “reference knowledge” — Methods, Study Design and Data: Gems retrieval and ROBoto2 pipeline, not demonstrated autonomous tool calls.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reference — Yes: “One experienced reviewer’s assessment served as the reference.” — Methods, Study Design and Data: a single expert, not a blinded panel.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r>
        <w:trPr>
          <w:cantSplit/>
          <w:trHeight w:val="11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Hevia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Enforcement — Partly: “implement the logic provided by the ROB2 flowcharts” — Section 4, Domain-level and overall judgments: integrated software aggregation; not proven rejection of invalid/incomplete answers, and Choi found displayed inconsistencies.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Audit file — Partly: “retains the original LLM responses and rationales” — Section 4, Collecting user feedback: original and human-edited records retained; no independently verified source-integrity bundle.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Agent — Partly: “retrieved evidence paragraphs as context” — Section 4, Answering signaling questions: retrieval pipeline, not autonomous agent tool selection.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reference — Yes: “245 reports” — Section 5, Annotation procedure: manually assessed expert subset used for every LLM evaluation.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arXiv:2511.03048 v1, sections 4–5.</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Liang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Quotation checks — Partly: “a verbatim quotation drawn from the retrieved trial text” — Methods, Retrieval-Based Evidence Support and Hallucination Assessment: GPT-5 judge supplies quoted support verdicts; no deterministic occurrence/hash check established.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Audit file — Partly: “returned structured JSON” — Same section: verdict, quote and rationale are reviewable; no complete independently verifiable source bundle established.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Agent — Partly: “post hoc claim verification” — Discussion, Limitations: BM25 plus judge pipeline evaluates generated claims; no autonomous assessment agent established.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PMC13628037, Methods and Discussion.</w:t>
            </w:r>
          </w:p>
        </w:tc>
      </w:tr>
      <w:tr>
        <w:trPr>
          <w:cantSplit/>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Saadi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Not reported: “customised agent-based implementations” — Methods, LLM assessment workflow: structured prompting is established, but neither retrieval nor external tool calling is demonstrated.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reference — Partly: “two separate teams of human reviewers” — Methods, Study design and data source: concordant historical review ratings selected, not new adjudication.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PMC13528376, Methods.</w:t>
            </w:r>
          </w:p>
        </w:tc>
      </w:tr>
      <w:tr>
        <w:trPr>
          <w:cantSplit/>
          <w:trHeight w:val="2002"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“ARBITER's server proposes the algorithm judgement.” — ANALYSIS-PLAN, section 5.4, resolution dated 18 October 2026.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Enforcement — Yes: “The assessing model may adopt a different judgement only through a reasoned override” — Same resolution: enforced proposal/recording path, not a claim that overrides are impossible.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Rule checks — Yes: “zero domain rule breaks by design” — Results, rule consistency; Table 3, ARBITER D1–D5 rule-break row (0/510).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Quotation checks — Yes: “every quotation is found in a stored source” — ANALYSIS-PLAN, section 7, Resolution; audit-summary.csv reports 1407/1407 text-span and 14/14 visual evidence bindings.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Audit file — Yes: “containing `canonical.json` and `verification.json`” — ANALYSIS-PLAN, section 5.8, bundle definition; audit-summary.csv reports 102/102 bundle verification.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Agent — Yes: “its MCP server.” — ARBITER run input inventory, Setup.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reference — Yes: “Blinded dual adjudication of the disagreement cells” — ANALYSIS-PLAN, section 7, Action: adjudicators first rated independently, then chose among blinded labels.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Registry/protocol — Yes: “the 60 protocol and SAP PDFs” — Unassisted run input inventory, Inputs; ARBITER run input inventory, opening paragraph: registry document acquisition enabled. Availability varies by trial; Yes records delivery of the complete acquired ancillary set to both arms, not that every trial had a protocol.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One row per Table 4 study; reference callouts resolve in the bibliography. Quotations condense documented feature decisions and their locations. NR means not reported, not absent; definitions are in Table 4. Text-relevance review is not risk-of-bias adjudication. Quotation occurrence does not establish support. Recorded overrides were permitted; none occurred in 510 domains.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29.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2448"/>
        <w:gridCol w:w="2088"/>
        <w:gridCol w:w="2088"/>
        <w:gridCol w:w="324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96.9–100.0)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88.7–97.9)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94.7–100.0)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95.8–100.0)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split: Adjudicators’ agreed choice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116/129 (89.9%)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split: Kept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356/356 (100.0%)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93.8–100.0)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76.7–89.1)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82.3–93.8)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88.2–97.0)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69.7–83.2)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split: Adjudicators’ agreed choice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69/129 (53.5%)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split: Kept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356/356 (100.0%)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70.6–77.0)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73.5–85.7)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77.7–90.4)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63.5–76.8)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41.7–56.6)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 AC2 and exact agreement. The composite uses the agreed choice on 129 cells and Published on 356; 25 cells where adjudicators split are excluded. Adjudicators chose among three labels; unreviewed cells matching Published are assumed correct. Both inflate absolute values. Post hoc component rows give n/N (%) without new intervals.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30.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(3.2–18.1)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(3.4–15.8)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(14.3–28.3)</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Reference: the adjudicators’ agreed choice where both agreed; published labels elsewhere. Excludes 25 divided decisions (485 cells per arm). Only three labels were offered. Unreviewed cells where both arms matched published labels are assumed correct. Both features inflate absolute values.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31. Composite-reference sensitivity estimates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92.0–95.9)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93.1–99.0)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82.5–87.8)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92.2–99.0)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67.8–74.9)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60.8–74.5)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40.2–54.9)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94.1–97.1)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83.3–88.6)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89.2–98.0)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69.6–76.1)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60.8–72.5)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Each adjudicator’s selected label replaces Published on disputed cells. Only three labels were offered; unadjudicated cells are assumed correct.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32. Composite-reference paired differences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(5.7–11.6)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(4.9–20.6)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(6.9–12.5)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(−2.9 to 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(5.9–19.6)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(14.7–28.4)</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 units or percentage points; 510 paired cells per arm. Only offered labels could be chosen; unadjudicated cells are assumed correct.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 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 claude-sonnet-5-5;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5b89b9ea4304f8f814e50114ac96c92277f6f776.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ali</cp:lastModifiedBy>
  <cp:revision>9</cp:revision>
  <dcterms:created xsi:type="dcterms:W3CDTF">2017-02-28T11:18:00Z</dcterms:created>
  <dcterms:modified xsi:type="dcterms:W3CDTF">2026-10-19T11:26:51Z</dcterms:modified>
  <cp:category/>
</cp:coreProperties>
</file>