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ARBITER detected more of the risk flagged by published reviews, at lower specificity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4"/>
        <w:gridCol w:w="1944"/>
        <w:gridCol w:w="1944"/>
        <w:gridCol w:w="1944"/>
        <w:gridCol w:w="208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Exact agreement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Sensitivity¹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Specificity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D1⁠–⁠D5 (510 cells); Some concerns or High: N = 83; Low N = 427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(0.26–0.42)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75.7% (72.4–79.0)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66.3% (57.3–74.7)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81.3% (77.7–84.7)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(0.21–0.35)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77.5% (74.1–80.8)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50.6% (40.3–60.2)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85.7% (82.1–89.3)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83.7% (81.0–86.5)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Overall (81 trials); Some concerns or High: N = 39; Low N = 42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(0.32–0.56)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58.0% (49.4–66.7)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92.3% (83.7–100.0)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54.8% (44.2–67.4)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(0.27–0.56)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59.3% (50.6–67.9)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64.1% (50.0–77.8)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(65.9–86.8)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51.9% (44.4–59.3)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Paired difference, ARBITER − Unassisted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D1⁠–⁠D5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(−0.03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−1.8 (−5.1 to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15.7 (6.8–24.4)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(−7.6 to −1.2)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Overall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(−0.11 to 0.16)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(−11.1 to 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 (16.1–40.5)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−21.4 (−32.7 to −9.8)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 means published review label. Values are coefficients or percentages (95% CI); denominators are in block labels. ¹ Sensitivity for Some concerns or High; specificity is the share of published Low ratings also rated Low. All-Low rule has no variance; only accuracy and specificity are reported. Paired differences are coefficients or percentage points; — indicates undefined or not applicable. AC2 and composite-reference results: eTables 6 and 29. Full paired differences: eTables 7 and 30. Overall judgements were not adjudicated. Published labels were frequently less severe than the adjudicators’ agreed choice (Figure 4).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2026-10-19T11:25:46Z</dcterms:modified>
  <cp:category/>
</cp:coreProperties>
</file>