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Agreement (95% CI)</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1152"/>
        <w:gridCol w:w="1152"/>
        <w:gridCol w:w="1944"/>
        <w:gridCol w:w="1944"/>
        <w:gridCol w:w="158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D1–D5 (510 cells)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Overall (81 trials)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composite reference — D1–D5 (485 cells)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difference, ARBITER − Unassisted</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 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2026-10-18T18:30:51Z</dcterms:modified>
  <cp:category/>
</cp:coreProperties>
</file>