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176"/>
        <w:gridCol w:w="1944"/>
        <w:gridCol w:w="1944"/>
        <w:gridCol w:w="180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95% CI (%)</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Separate 95% CI column gives Unassisted departure-type rates in %.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2026-10-18T18:30:52Z</dcterms:modified>
  <cp:category/>
</cp:coreProperties>
</file>