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methods and results</w:t>
      </w:r>
    </w:p>
    <w:p>
      <w:pPr>
        <w:pStyle w:val="ManuscriptBody"/>
      </w:pPr>
      <w:r>
        <w:t xml:space="preserve">Two independent expert references support the assessment of all trial domains. Tables follow the expected order of citation. All estimates are generated from the accompanying CSV files.</w:t>
      </w:r>
    </w:p>
    <w:p>
      <w:pPr>
        <w:pStyle w:val="ManuscriptBody"/>
      </w:pPr>
      <w:r>
        <w:t xml:space="preserve">eTable 1 Benchmark trials</w:t>
      </w:r>
    </w:p>
    <w:p>
      <w:pPr>
        <w:pStyle w:val="ManuscriptBody"/>
      </w:pPr>
      <w:r>
        <w:t xml:space="preserve">eTable 2 Expert reliability</w:t>
      </w:r>
    </w:p>
    <w:p>
      <w:pPr>
        <w:pStyle w:val="ManuscriptBody"/>
      </w:pPr>
      <w:r>
        <w:t xml:space="preserve">eTable 3 Primary endpoint sensitivities and post hoc strata</w:t>
      </w:r>
    </w:p>
    <w:p>
      <w:pPr>
        <w:pStyle w:val="ManuscriptBody"/>
      </w:pPr>
      <w:r>
        <w:t xml:space="preserve">eTable 4 Full independent agreement and paired contrasts</w:t>
      </w:r>
    </w:p>
    <w:p>
      <w:pPr>
        <w:pStyle w:val="ManuscriptBody"/>
      </w:pPr>
      <w:r>
        <w:t xml:space="preserve">eTable 5 Confusion matrices against each independent expert</w:t>
      </w:r>
    </w:p>
    <w:p>
      <w:pPr>
        <w:pStyle w:val="ManuscriptBody"/>
      </w:pPr>
      <w:r>
        <w:t xml:space="preserve">eTable 6 Agreed reference and paired contrasts</w:t>
      </w:r>
    </w:p>
    <w:p>
      <w:pPr>
        <w:pStyle w:val="ManuscriptBody"/>
      </w:pPr>
      <w:r>
        <w:t xml:space="preserve">eTable 7 Exploratory binary agreement against each expert</w:t>
      </w:r>
    </w:p>
    <w:p>
      <w:pPr>
        <w:pStyle w:val="ManuscriptBody"/>
      </w:pPr>
      <w:r>
        <w:t xml:space="preserve">eTable 8 Direction of disagreement against independent experts</w:t>
      </w:r>
    </w:p>
    <w:p>
      <w:pPr>
        <w:pStyle w:val="ManuscriptBody"/>
      </w:pPr>
      <w:r>
        <w:t xml:space="preserve">eTable 9 Published label agreement</w:t>
      </w:r>
    </w:p>
    <w:p>
      <w:pPr>
        <w:pStyle w:val="ManuscriptBody"/>
      </w:pPr>
      <w:r>
        <w:t xml:space="preserve">eTable 10 Unweighted agreement with published labels</w:t>
      </w:r>
    </w:p>
    <w:p>
      <w:pPr>
        <w:pStyle w:val="ManuscriptBody"/>
      </w:pPr>
      <w:r>
        <w:t xml:space="preserve">eTable 11 Full signalling question agreement</w:t>
      </w:r>
    </w:p>
    <w:p>
      <w:pPr>
        <w:pStyle w:val="ManuscriptBody"/>
      </w:pPr>
      <w:r>
        <w:t xml:space="preserve">eTable 12 Rules only recomputation</w:t>
      </w:r>
    </w:p>
    <w:p>
      <w:pPr>
        <w:pStyle w:val="ManuscriptBody"/>
      </w:pPr>
      <w:r>
        <w:t xml:space="preserve">eTable 13 Rule consistency and audit</w:t>
      </w:r>
    </w:p>
    <w:p>
      <w:pPr>
        <w:pStyle w:val="ManuscriptBody"/>
      </w:pPr>
      <w:r>
        <w:t xml:space="preserve">eTable 14 Evidence binding</w:t>
      </w:r>
    </w:p>
    <w:p>
      <w:pPr>
        <w:pStyle w:val="ManuscriptBody"/>
      </w:pPr>
      <w:r>
        <w:t xml:space="preserve">eTable 15 Time cost and token use</w:t>
      </w:r>
    </w:p>
    <w:p>
      <w:pPr>
        <w:pStyle w:val="ManuscriptBody"/>
      </w:pPr>
      <w:r>
        <w:t xml:space="preserve">eTable 16 Forced choice on disputed cells</w:t>
      </w:r>
    </w:p>
    <w:p>
      <w:pPr>
        <w:pStyle w:val="ManuscriptBody"/>
      </w:pPr>
      <w:r>
        <w:t xml:space="preserve">eTable 17 Revised ratings and retained or changed answers</w:t>
      </w:r>
    </w:p>
    <w:p>
      <w:pPr>
        <w:pStyle w:val="ManuscriptBody"/>
      </w:pPr>
      <w:r>
        <w:t xml:space="preserve">eTable 18 Invalid answer path sensitivity</w:t>
      </w:r>
    </w:p>
    <w:p>
      <w:pPr>
        <w:pStyle w:val="ManuscriptBody"/>
      </w:pPr>
      <w:r>
        <w:t xml:space="preserve">eTable 19 API cost estimates and reconstruction bounds</w:t>
      </w:r>
    </w:p>
    <w:p>
      <w:pPr>
        <w:pStyle w:val="ManuscriptBody"/>
      </w:pPr>
      <w:r>
        <w:t xml:space="preserve">eTable 20 Token reconciliation</w:t>
      </w:r>
    </w:p>
    <w:p>
      <w:pPr>
        <w:pStyle w:val="ManuscriptBody"/>
      </w:pPr>
      <w:r>
        <w:t xml:space="preserve">eTable 21 Derived Overall validation differences</w:t>
      </w:r>
    </w:p>
    <w:p>
      <w:pPr>
        <w:pStyle w:val="ManuscriptBody"/>
      </w:pPr>
      <w:r>
        <w:t xml:space="preserve">eTable 22 Evidence and quotation locations for the prior-work comparison</w:t>
      </w:r>
    </w:p>
    <w:p>
      <w:pPr/>
      <w:r>
        <w:br w:type="page"/>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unrecognised model and unknown cost basis; retained only as supplementary diagnostics.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r>
        <w:br w:type="page"/>
      </w:r>
    </w:p>
    <w:p>
      <w:pPr>
        <w:pStyle w:val="Titre2"/>
      </w:pPr>
      <w:r>
        <w:t xml:space="preserve">Inference</w:t>
      </w:r>
    </w:p>
    <w:p>
      <w:pPr>
        <w:pStyle w:val="ManuscriptBody"/>
      </w:pPr>
      <w:r>
        <w:t xml:space="preserve">All confidence intervals use stratified trial-cluster resampling within meta-analysis, 10000 replicates, percentile intervals and seed 20261018. Paired comparisons share weights. No p-values are used.</w:t>
      </w:r>
    </w:p>
    <w:p>
      <w:pPr>
        <w:pStyle w:val="Titre2"/>
      </w:pPr>
      <w:r>
        <w:t xml:space="preserve">Blinded expert assessment</w:t>
      </w:r>
    </w:p>
    <w:p>
      <w:pPr>
        <w:pStyle w:val="ManuscriptBody"/>
      </w:pPr>
      <w:r>
        <w:t xml:space="preserve">Two blinded human experts independently rated every trial domain, without AI, and froze their ratings and signalling answers before viewing labels. They then made a forced choice among three labels shown in random order without rationales, followed by a revised rating. Choice is scored by label; ties credit every matching source. Concordant cells are excluded from preference summaries. The primary estimate uses arm disagreements with equal choices. Revised ratings are descriptive.</w:t>
      </w:r>
    </w:p>
    <w:p>
      <w:pPr>
        <w:pStyle w:val="Titre2"/>
      </w:pPr>
      <w:r>
        <w:t xml:space="preserve">Independent reference and Overall</w:t>
      </w:r>
    </w:p>
    <w:p>
      <w:pPr>
        <w:pStyle w:val="ManuscriptBody"/>
      </w:pPr>
      <w:r>
        <w:t xml:space="preserve">Agreement is evaluated against each independent rating, the arithmetic mean of the two expert-specific estimates, and the agreed reference. Derived Overall is the worst independent domain rating; optional escalation is not imposed. The workbook validation separately records every difference in all available columns. Published Overall is compared only on observed labels (n = 81); 21 published reviews gave no Overall label and are excluded, never counted as disagreements. ARBITER and Unassisted use all trials (n = 102) and the same observed subset (n = 81). Every paired Overall contrast involving Published uses that subset (n = 81). Agreed-reference denominators are restricted further to equal expert ratings and printed on each row.</w:t>
      </w:r>
    </w:p>
    <w:p>
      <w:pPr/>
      <w:r>
        <w:br w:type="page"/>
      </w:r>
    </w:p>
    <w:p>
      <w:pPr>
        <w:pStyle w:val="Titre2"/>
      </w:pPr>
      <w:r>
        <w:t xml:space="preserve">Signalling question mapping and eligibility</w:t>
      </w:r>
    </w:p>
    <w:p>
      <w:pPr>
        <w:pStyle w:val="ManuscriptBody"/>
      </w:pPr>
      <w:r>
        <w:t xml:space="preserve">The ARBITER semantic question identifiers map one-to-one to the official numbered questions (see Signalling question mapping and eligibility); Unassisted numeric identifiers already match the experts. Comparisons require explicit answers to the same question and component on both sides. Scalar answers are never broadcast across components. NA, inactive questions, missing answers, unmatched components and unresolved strings are not evaluable and are counted separately. Five-level matching distinguishes Y, PY, N, PN and NI. Collapsed matching combines Y/PY and N/PN; NI remains separate. Paired differences retain only components evaluable in both arms.</w:t>
      </w:r>
    </w:p>
    <w:p>
      <w:pPr>
        <w:pStyle w:val="Titre2"/>
      </w:pPr>
      <w:r>
        <w:t xml:space="preserve">Input parity and label targets</w:t>
      </w:r>
    </w:p>
    <w:p>
      <w:pPr>
        <w:pStyle w:val="ManuscriptBody"/>
      </w:pPr>
      <w:r>
        <w:t xml:space="preserve">Both arms received the same supplied articles, supplements, registry records and protocol or SAP files. The De Waal registry input belongs to a different trial. Published-label target bindings can be broad, inferred or mismatched; the benchmark and label-target tables document these categories.</w:t>
      </w:r>
    </w:p>
    <w:p>
      <w:pPr>
        <w:pStyle w:val="Titre2"/>
      </w:pPr>
      <w:r>
        <w:t xml:space="preserve">Design status and limitations</w:t>
      </w:r>
    </w:p>
    <w:p>
      <w:pPr>
        <w:pStyle w:val="ManuscriptBody"/>
      </w:pPr>
      <w:r>
        <w:t xml:space="preserve">The primary endpoint, independent-rating comparisons with each source, expert reliability, signalling-answer agreement, published-label agreement, rule audit, time and cost were prespecified in the 18 October 2026 plan. Prespecified comparisons were applied to all 510 cells because the experts assessed every cell. Derived Overall against experts, direction of disagreement, rules-only recomputation, strictness strata and severity analyses are exploratory. There are only two experts, with modest agreement, especially in D3. Experts could consult sources beyond the arms’ inputs. Forced choice among three labels may anchor choices. Overall is derived rather than rated directly. System-level attribution, no structured-prompt comparator, a single run per arm, possible training exposure, unassessed quotation support, outcome mismatch and the De Waal input error limit interpretation.</w:t>
      </w:r>
    </w:p>
    <w:p>
      <w:pPr/>
      <w:r>
        <w:br w:type="page"/>
      </w:r>
    </w:p>
    <w:p>
      <w:pPr>
        <w:pStyle w:val="Titre2"/>
      </w:pPr>
      <w:r>
        <w:t xml:space="preserve">Published-label target matching</w:t>
      </w:r>
    </w:p>
    <w:p>
      <w:pPr>
        <w:pStyle w:val="ManuscriptBody"/>
      </w:pPr>
      <w:r>
        <w:t xml:space="preserve">The benchmark label-target documentation links each published label to its review, source table, outcome, time point and contrast, with quoted binding evidence where stated and an explicit inference otherwise. The assessment prompt targets the labelled result rather than automatically the trial primary outcome, with the definition, printed result and locator from the trial report. Among the 102 included trials, 33 targets match an explicitly stated result, 11 match one of several covered outcomes, and 32 match an inferred result; 7 partly match, 9 differ and 10 have unknown binding. These categories are retained rather than treating all targets as exact matches. Twelve published label sets (60 domain labels) cover every outcome taken from a trial; another 10 label sets (50 domain labels) have no identified result, and seven more label sets (35 domain labels) jointly cover pain and disability; thus 29 sets (145 domain labels) do not isolate a single result (19 broad and 10 unknown). Binding was inferred rather than explicitly stated for 62 label sets, overlapping these categories. The benchmark documentation and per-review binding evidence support these categories (see Published-label target matching).</w:t>
      </w:r>
    </w:p>
    <w:p>
      <w:pPr>
        <w:pStyle w:val="Titre2"/>
      </w:pPr>
      <w:r>
        <w:t xml:space="preserve">Dates and training exposure</w:t>
      </w:r>
    </w:p>
    <w:p>
      <w:pPr>
        <w:pStyle w:val="ManuscriptBody"/>
      </w:pPr>
      <w:r>
        <w:t xml:space="preserve">Trial reports span publication years 1996–2025; the 16 source reviews were published in 2025–2026. Years come from the benchmark trial summaries and trial-label years where that field is blank (see Published-label target matching); the benchmark documentation identifies the SANCTUARY report as 2025. Anthropic documents June 2026 as the training-data cut-off for claude-sonnet-5-5 (model documentation, https://platform.claude.com/docs/en/models/sonnet-5-5/overview, and provider help, https://support.claude.com/en/articles/8114494-how-up-to-date-is-claude-s-training-data; checked 19 October 2026). Dates cannot establish whether a report was used in training.</w:t>
      </w:r>
    </w:p>
    <w:p>
      <w:pPr/>
      <w:r>
        <w:br w:type="page"/>
      </w:r>
    </w:p>
    <w:p>
      <w:pPr>
        <w:pStyle w:val="Titre2"/>
      </w:pPr>
      <w:r>
        <w:t xml:space="preserve">eTable 1 Benchmark trials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 (Low/SC/High)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 Expert reliability</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 (73.1–78.8)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(0.54–0.64)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87.3% (81.4–93.1)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(0.53–0.83)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79.4% (71.6–86.3)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(0.32–0.64)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52.9% (46.1–60.8)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(0.35–0.52)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83.3% (77.5–89.2)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(0.47–0.75)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(70.6–84.3)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(44.1–57.8)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(0.26–0.44)</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 CI, confidence interval; 10,000 percentile bootstrap replicates, trials resampled within meta-analysis; seed 20261018. D1–D5: 510 cells; each domain and derived Overall: 102 trials. SC, Some concerns; NI, no information; NA, not applicable. Counts and denominators refer to the named cells or answers.</w:t>
            </w:r>
          </w:p>
        </w:tc>
      </w:tr>
    </w:tbl>
    <w:p>
      <w:pPr/>
      <w:r>
        <w:br w:type="page"/>
      </w:r>
    </w:p>
    <w:p>
      <w:pPr>
        <w:pStyle w:val="Titre2"/>
      </w:pPr>
      <w:r>
        <w:t xml:space="preserve">eTable 3 Primary endpoint sensitivities and post hoc strata</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experts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88.3% (79.7–96.3)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experts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(3.7–20.3)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experts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(70.4–86.9)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(8.4–24.7)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(1.3–9.2)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(67.6–84.5)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(15.5–32.4)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66.2% (58.0–74.6)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(2.7–15.5)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(17.8–32.5)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97.7% (92.7–100.0)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(0.0–7.3)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62.5% (41.7–83.3)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 (16.7–58.3)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3.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4 Full independent agreement and paired contrasts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371/510 (72.7%) (69.8–75.5)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(0.45–0.56)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332/510 (65.1%) (62.2–68.0)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301/510 (59.0%) (55.9–62.2)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(0.16–0.26)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(0.69–0.92)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66/102 (64.7%) (57.8–71.6)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63/102 (61.8%) (52.9–70.6)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43/102 (42.2%) (34.3–49.0)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37/102 (36.3%) (28.4–44.1)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36/102 (35.3%) (28.4–42.2)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(0.09–0.20)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(0.35–0.70)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(0.19–0.52)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(69.6–83.3)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(0.06–0.38)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(46.1–61.8)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44/102 (43.1%) (37.3–49.0)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(30.4–46.1)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27/102 (26.5%) (18.6–34.3)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(0.09–0.21)</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32/81 (39.5%) (30.9–48.1)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(0.11–0.29)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21/81 (25.9%) (17.3–34.6)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(0.07–0.19)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24/81 (29.6%) (22.2–37.0)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433/510 (84.9%) (82.2–87.5)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(0.63–0.75)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400/510 (78.4%) (75.1–81.6)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(0.45–0.60)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362/510 (71.0%) (67.5–74.5)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(76.4–81.1)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 (0.55–0.65)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 (69.1–74.4)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(0.37–0.50)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65.0% (62.1–67.9)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(0.20–0.30)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(0.72–0.96)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(85.3–96.1)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(0.56–0.87)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(90.7–96.6)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(0.74–0.91)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 (87.7–95.1)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(0.64–0.86)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(0.23–0.54)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(0.25–0.65)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(0.13–0.56)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76/102 (74.5%) (67.6–81.4)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0.25)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 (70.1–83.3)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(0.26–0.58)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 (66.2–77.5)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(0.09–0.44)</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(61.3–75.0)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(0.59–0.79)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70/102 (68.6%) (61.8–75.5)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(0.38–0.63)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(0.19–0.41)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60.3% (54.4–66.2)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(0.41–0.56)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52.5% (46.1–58.8)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(0.25–0.45)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49.0% (43.1–54.9)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(80.4–92.2)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(0.45–0.75)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(0.32–0.64)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(0.14–0.45)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 (80.4–89.7)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(0.42–0.70)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80.4% (75.0–85.3)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(71.1–83.3)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(0.11–0.40)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(0.53–0.78)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(61.8–78.4)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(0.33–0.61)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61/102 (59.8%) (52.9–66.7)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(0.14–0.38)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 (72.1–83.3)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(0.47–0.67)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62.3% (55.4–69.1)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(0.26–0.46)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(46.1–56.9)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(0.51–0.72)</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(47.1–64.7)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(0.35–0.56)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60/81 (74.1%) (65.4–82.7)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(0.55–0.77)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46/81 (56.8%) (46.9–66.7)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(0.36–0.58)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(43.2–61.7)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(47.5–60.8)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(0.34–0.50)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 (34.3–48.0)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 (49.4–64.2)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(0.34–0.52)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 (33.3–49.4)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(0.22–0.38)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40.7% (34.0–48.1)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(0.16–0.33)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349/388 (89.9%) (87.2–92.5)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313/388 (80.7%) (77.6–83.7)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(0.49–0.65)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281/388 (72.4%) (68.9–76.1)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(0.24–0.39)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(1.00–1.00)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87/89 (97.8%) (94.5–100.0)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(0.79–1.00)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74/89 (83.1%) (77.2–88.8)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(0.25–0.63)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(81.0–93.9)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(0.22–0.75)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65/81 (80.2%) (73.3–87.2)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(0.00 to 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(−0.12 to 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 (77.8%) (68.5–86.8)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(0.61–0.84)</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35/54 (64.8%) (53.8–75.9)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(0.35–0.68)</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32/54 (59.3%) (48.9–70.2)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(0.17–0.46)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79/85 (92.9%) (88.0–97.6)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(0.53–0.90)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74/85 (87.1%) (80.9–92.9)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(0.24–0.68)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72/85 (84.7%) (77.9–91.5)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(0.14–0.58)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68/79 (86.1%) (78.9–92.7)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52/79 (65.8%) (56.6–75.0)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(0.28–0.54)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42/79 (53.2%) (46.2–60.3)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(0.16–0.31)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35/52 (67.3%) (55.3–78.7)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0.58 (0.43–0.72)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25/52 (48.1%) (35.4–60.4)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(0.26–0.52)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30/42 (71.4%) (58.5–83.3)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(0.37–0.74)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21/42 (50.0%) (35.0–64.1)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20/42 (47.6%) (34.1–61.4)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(5.1–10.2)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(0.10–0.22)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(10.6–16.9)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(0.21–0.61)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(0.17–0.59)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(0.04–0.37)</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(2.0–17.6)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(0.05–0.50)</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(−4.9 to 10.8)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(−0.12 to 0.28)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(0.0–11.8)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(0.0–13.7)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(−6.9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(−0.05 to 0.15)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(0.00–0.34)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 to 0.33)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(0.14–0.32)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(22.5–38.2)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(0.22–0.43)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(6.2–21.0)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 to 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(−14.8 to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 (3.5–9.4)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 (10.8–17.1)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(0.33–0.47)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 (4.1–10.6)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(0.15–0.33)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(11.2–16.5)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 (4.0–9.6)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(0.11–0.27)</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(0.28–0.68)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(0.14–0.57)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 to 0.19)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(9.8–19.6)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(0.28–0.62)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(7.8–18.6)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(0.19–0.55)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(−3.9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 to 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(−1.0 to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(0.10–0.62)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(−2.9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(0.02–0.51)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(0.03–0.30)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(1.5–15.7)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(0.11–0.53)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(−3.4 to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 to 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(0.27–0.51)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(−2.0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(0.03–0.39)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(0.17–0.36)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 (−3.4 to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0.30)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(0.00 to 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(−0.02 to 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(3.4–12.7)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(−2.5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 to 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(2.9–20.6)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 (13.7–31.4)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(0.23–0.56)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(0.06–0.36)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(0.11–0.31)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 (19.1–33.8)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(0.24–0.48)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(3.4–17.6)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(5.9–22.5)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(0.07–0.26)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 (8.6–25.9)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(−7.4 to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 to 0.23)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 (6.4–19.6)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(8.0–22.8)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(6.8–25.3)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 (−9.3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(−0.04 to 0.15)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 (6.3–12.2)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 (14.1–20.9)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(0.40–0.56)</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(4.8–11.7)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(0.00–0.21)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(0.37–0.75)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(8.8–20.7)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 (1.3–13.3)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(0.02–0.45)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 (3.8–20.8)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(0.14–0.76)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(−4.1 to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(−0.06 to 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(3.7–22.6)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(0.08–0.37)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(7.8–29.1)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(−7.0 to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 to 0.44)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(0.02–0.52)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(3.4–14.0)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(0.15–0.59)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(−3.6 to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(−0.18 to 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 (11.9–28.6)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(0.19–0.44)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 (23.8–41.9)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(0.34–0.63)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(3.7–21.5)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(0.04–0.30)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 (7.0–31.4)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(0.06–0.31)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(7.5–35.0)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(7.0–40.0)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(0.11–0.52)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(−16.3 to 19.6)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0.29)</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388/510 (76.1%) (73.1–78.8)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(0.54–0.64)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(81.4–93.1)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(0.53–0.83)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(71.6–86.3)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(0.32–0.64)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(0.35–0.52)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(0.47–0.75)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(0.26–0.44)</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4.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SC, Some concerns; NI, no information; NA, not applicable. Counts and denominators refer to the named cells or answers.</w:t>
            </w:r>
          </w:p>
        </w:tc>
      </w:tr>
    </w:tbl>
    <w:p>
      <w:pPr/>
      <w:r>
        <w:br w:type="page"/>
      </w:r>
    </w:p>
    <w:p>
      <w:pPr>
        <w:pStyle w:val="Titre2"/>
      </w:pPr>
      <w:r>
        <w:t xml:space="preserve">Unweighted agreement with each expert</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(0.73–0.97)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(0.59–0.87)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(0.17–0.45)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(0.22–0.60)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(−0.08 to 0.13)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 to 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(0.10–0.49)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(0.10–0.26)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(0.50–0.72)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(0.04–0.16)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(0.18–0.38)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(0.29–0.53)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0.56 (0.39–0.71)</w:t>
            </w:r>
          </w:p>
        </w:tc>
      </w:tr>
    </w:tbl>
    <w:p>
      <w:pPr/>
      <w:r>
        <w:br w:type="page"/>
      </w:r>
    </w:p>
    <w:p>
      <w:pPr>
        <w:pStyle w:val="Titre2"/>
      </w:pPr>
      <w:r>
        <w:t xml:space="preserve">Unweighted agreement with each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(0.03–0.37)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(0.08–0.42)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(0.13–0.43)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(0.52–0.78)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(0.10–0.20)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(0.31–0.59)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 to 0.14)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(0.26–0.47)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(0.02–0.23)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(0.46–0.72)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 to 0.16)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(0.27–0.51)</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confidence interval; 10,000 percentile bootstrap replicates, trials resampled within meta-analysis; seed 20261018.</w:t>
            </w:r>
          </w:p>
        </w:tc>
      </w:tr>
    </w:tbl>
    <w:p>
      <w:pPr/>
      <w:r>
        <w:br w:type="page"/>
      </w:r>
    </w:p>
    <w:p>
      <w:pPr>
        <w:pStyle w:val="Titre2"/>
      </w:pPr>
      <w:r>
        <w:t xml:space="preserve">eTable 5 Confusion matrices against each independent expert</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gridSpan w:val="9"/>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5.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SC, Some concerns; NI, no information; NA, not applicable. Counts and denominators refer to the named cells or answers.</w:t>
            </w:r>
          </w:p>
        </w:tc>
      </w:tr>
    </w:tbl>
    <w:p>
      <w:pPr/>
      <w:r>
        <w:br w:type="page"/>
      </w:r>
    </w:p>
    <w:p>
      <w:pPr>
        <w:pStyle w:val="Titre2"/>
      </w:pPr>
      <w:r>
        <w:t xml:space="preserve">eTable 6 Agreed reference and paired contrasts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(5.1–10.2)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(0.10–0.22)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(10.6–16.9)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(0.21–0.61)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(0.17–0.59)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(−4.9 to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(−0.12 to 0.28)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(0.0–11.8)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(0.0–13.7)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(−6.9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(−0.05 to 0.15)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(0.00–0.34)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 to 0.33)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(0.14–0.32)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(22.5–38.2)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(0.22–0.43)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(6.2–21.0)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 to 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(−14.8 to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 (3.5–9.4)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 (10.8–17.1)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(0.33–0.47)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 (4.1–10.6)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(0.15–0.33)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(11.2–16.5)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 (4.0–9.6)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(0.28–0.68)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(0.14–0.57)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 to 0.19)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(9.8–19.6)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(0.28–0.62)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(7.8–18.6)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(0.19–0.55)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(−3.9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 to 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(−1.0 to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(0.10–0.62)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(−2.9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(0.02–0.51)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(0.03–0.30)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(1.5–15.7)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(0.11–0.53)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(−3.4 to 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 to 0.37)</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(2.9–16.7)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(0.27–0.51)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(−2.0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(0.03–0.39)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(0.17–0.36)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 (−3.4 to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(0.00 to 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(−0.02 to 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(3.4–12.7)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(−2.5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 to 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(2.9–20.6)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 (13.7–31.4)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(0.23–0.56)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(0.06–0.36)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(0.11–0.31)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 (19.1–33.8)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(0.24–0.48)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(3.4–17.6)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(5.9–22.5)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(0.07–0.26)</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 (8.6–25.9)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(11.1–33.3)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(−7.4 to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 to 0.23)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 (6.4–19.6)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(8.0–22.8)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(6.8–25.3)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 (−9.3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(−0.04 to 0.15)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 (6.3–12.2)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 (14.1–20.9)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(0.40–0.56)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(4.8–11.7)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(0.00–0.21)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(0.37–0.75)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(8.8–20.7)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 (1.3–13.3)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(0.02–0.45)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 (3.8–20.8)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(0.14–0.76)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(−4.1 to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(−0.06 to 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(3.7–22.6)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(0.08–0.37)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(7.8–29.1)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(−7.0 to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 to 0.44)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(0.02–0.52)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(3.4–14.0)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(0.15–0.59)</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(−3.6 to 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(−0.18 to 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 (11.9–28.6)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(0.19–0.44)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 (23.8–41.9)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(0.34–0.63)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(3.7–21.5)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(0.04–0.30)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 (7.0–31.4)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(0.06–0.31)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(7.5–35.0)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(7.0–40.0)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(0.11–0.52)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(−16.3 to 19.6)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0.29)</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6.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SC, Some concerns; NI, no information; NA, not applicable. Counts and denominators refer to the named cells or answers.</w:t>
            </w:r>
          </w:p>
        </w:tc>
      </w:tr>
    </w:tbl>
    <w:p>
      <w:pPr/>
      <w:r>
        <w:br w:type="page"/>
      </w:r>
    </w:p>
    <w:p>
      <w:pPr>
        <w:pStyle w:val="Titre2"/>
      </w:pPr>
      <w:r>
        <w:t xml:space="preserve">eTable 7 Exploratory binary agreement against each expert</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55.4% (49.6–60.8)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97.8% (96.1–99.3)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 (32.7–45.0)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95.7% (93.6–97.6)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 (23.3–33.3)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 (91.4–96.2)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70.4% (55.2–85.2)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74.1% (60.0–88.0)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 (30.8–66.7)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93.3% (88.2–98.5)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51.6% (35.3–67.7)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94.4% (89.5–98.6)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 (18.5–46.7)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87.3% (80.9–93.7)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22.6% (9.7–37.0)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87.3% (80.9–93.4)</w:t>
            </w:r>
          </w:p>
        </w:tc>
      </w:tr>
    </w:tbl>
    <w:p>
      <w:pPr/>
      <w:r>
        <w:br w:type="page"/>
      </w:r>
    </w:p>
    <w:p>
      <w:pPr>
        <w:pStyle w:val="Titre2"/>
      </w:pPr>
      <w:r>
        <w:t xml:space="preserve">Exploratory binary agreement against each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44.6% (36.5–52.6)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96.4% (88.9–100.0)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29.7% (21.8–37.8)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 (82.6–100.0)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25.7% (19.4–32.4)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48.0% (30.4–65.2)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98.7% (96.1–100.0)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 (17.4–46.7)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98.7% (96.1–100.0)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24.0% (9.5–38.1)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 (91.9–100.0)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64.5% (55.3–73.6)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40.8% (31.1–50.7)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27.6% (20.8–34.2)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bl>
    <w:p>
      <w:pPr/>
      <w:r>
        <w:br w:type="page"/>
      </w:r>
    </w:p>
    <w:p>
      <w:pPr>
        <w:pStyle w:val="Titre2"/>
      </w:pPr>
      <w:r>
        <w:t xml:space="preserve">Exploratory binary agreement against each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72.0% (65.4–78.2)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 (93.0–97.1)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52.4% (44.1–60.5)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 (92.8–97.2)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35.4% (29.4–41.3)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92.8% (90.2–95.1)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 (66.7–95.5)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98.8% (96.2–100.0)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77.3% (61.5–92.3)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96.2% (92.2–100.0)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 (30.4–70.6)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91.2% (85.4–96.3)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62.5% (40.0–83.4)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88.4% (82.0–94.2)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 (27.3–73.3)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87.2% (81.6–92.9)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(6.7–45.5)</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86.0% (79.8–92.0)</w:t>
            </w:r>
          </w:p>
        </w:tc>
      </w:tr>
    </w:tbl>
    <w:p>
      <w:pPr/>
      <w:r>
        <w:br w:type="page"/>
      </w:r>
    </w:p>
    <w:p>
      <w:pPr>
        <w:pStyle w:val="Titre2"/>
      </w:pPr>
      <w:r>
        <w:t xml:space="preserve">Exploratory binary agreement against each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70.2% (59.2–80.9)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98.2% (94.4–100.0)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 (37.2–60.8)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98.2% (94.3–100.0)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 (28.8–48.0)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98.2% (94.4–100.0)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54.2% (36.4–72.2)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 (22.2–53.8)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 (14.3–45.5)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97.4% (93.8–100.0)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80.0% (70.0–89.5)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89.4% (80.9–97.6)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 (40.7–64.8)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95.7% (89.7–100.0)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 (24.5–41.1)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(86.7–100.0)</w:t>
            </w:r>
          </w:p>
        </w:tc>
      </w:tr>
      <w:tr>
        <w:trPr>
          <w:cantSplit/>
          <w:trHeight w:val="14"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7. CI, confidence interval; 10,000 percentile bootstrap replicates, trials resampled within meta-analysis; seed 20261018. Exploratory. Some concerns or High is positive. Sensitivity denominators are expert-positive cells; specificity denominators are expert-Low cells. D1–D5 pools 510 cells; each domain has 102. Paired differences are in percentage points and use shared trial-cluster weights. SC, Some concerns; NI, no information; NA, not applicable. Counts and denominators refer to the named cells or answers.</w:t>
            </w:r>
          </w:p>
        </w:tc>
      </w:tr>
    </w:tbl>
    <w:p>
      <w:pPr/>
      <w:r>
        <w:br w:type="page"/>
      </w:r>
    </w:p>
    <w:p>
      <w:pPr>
        <w:pStyle w:val="Titre2"/>
      </w:pPr>
      <w:r>
        <w:t xml:space="preserve">Paired binary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2376"/>
        <w:gridCol w:w="864"/>
        <w:gridCol w:w="1440"/>
        <w:gridCol w:w="648"/>
        <w:gridCol w:w="37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Comparison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 pp (10.6–22.1)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pp (0.7–3.9)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pp (−15.4 to 7.7)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pp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 pp (−3.2 to 40.6)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 pp (1.6–12.7)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 pp (7.9–22.4)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 pp (0.0–11.5)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pp (−3.6 to 34.8)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pp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 pp (13.5–33.3)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pp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pp (12.8–26.4)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pp (−2.5 to 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 pp (0.0–13.6)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pp (0.0–6.1)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 pp (−14.3 to 40.0)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pp (−6.1 to 8.1)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 pp (10.9–32.7)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pp (−4.8 to 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 pp (−3.8 to 36.0)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pp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 pp (16.1–38.5)</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Specificity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 pp (−16.7 to 4.3)</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7. CI, confidence interval; 10,000 percentile bootstrap replicates, trials resampled within meta-analysis; seed 20261018. Exploratory. Some concerns or High is positive. Sensitivity denominators are expert-positive cells; specificity denominators are expert-Low cells. D1–D5 pools 510 cells; each domain has 102. Paired differences are in percentage points and use shared trial-cluster weights. SC, Some concerns; NI, no information; NA, not applicable. Counts and denominators refer to the named cells or answers.</w:t>
            </w:r>
          </w:p>
        </w:tc>
      </w:tr>
    </w:tbl>
    <w:p>
      <w:pPr/>
      <w:r>
        <w:br w:type="page"/>
      </w:r>
    </w:p>
    <w:p>
      <w:pPr>
        <w:pStyle w:val="Titre2"/>
      </w:pPr>
      <w:r>
        <w:t xml:space="preserve">eTable 8 Direction of disagreement against independent experts</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224"/>
        <w:gridCol w:w="720"/>
        <w:gridCol w:w="1296"/>
        <w:gridCol w:w="2160"/>
        <w:gridCol w:w="648"/>
        <w:gridCol w:w="504"/>
        <w:gridCol w:w="2520"/>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72.7% (65.9–79.4)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 (1.4–10.3)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73.9% (66.7–81.1)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 (9.5–22.3)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(5.2–15.4)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 (46.9–75.0)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 (17.9–44.4)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(0.0–17.2)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72.2% (58.1–86.1)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 (6.9–27.5)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 (2.9–20.5)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66.7% (57.1–75.0)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 (11.6–26.7)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(6.8–23.4)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62.3% (53.6–71.4)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 (14.8–34.1)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(5.8–21.6)</w:t>
            </w:r>
          </w:p>
        </w:tc>
      </w:tr>
    </w:tbl>
    <w:p>
      <w:pPr/>
      <w:r>
        <w:br w:type="page"/>
      </w:r>
    </w:p>
    <w:p>
      <w:pPr>
        <w:pStyle w:val="Titre2"/>
      </w:pPr>
      <w:r>
        <w:t xml:space="preserve">Direction of disagreement against independent experts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792"/>
        <w:gridCol w:w="1224"/>
        <w:gridCol w:w="720"/>
        <w:gridCol w:w="1296"/>
        <w:gridCol w:w="2160"/>
        <w:gridCol w:w="648"/>
        <w:gridCol w:w="504"/>
        <w:gridCol w:w="2520"/>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41.3% (28.6–54.2)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45.7% (32.7–58.7)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(5.9–20.7)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56.5% (42.9–71.1)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(17.1–43.8)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(5.4–21.7)</w:t>
            </w:r>
          </w:p>
        </w:tc>
      </w:tr>
      <w:tr>
        <w:trPr>
          <w:cantSplit/>
          <w:trHeight w:val="14"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8.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9 Published label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Sensitivity¹</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bl>
    <w:p>
      <w:pPr/>
      <w:r>
        <w:br w:type="page"/>
      </w:r>
    </w:p>
    <w:p>
      <w:pPr>
        <w:pStyle w:val="Titre2"/>
      </w:pPr>
      <w:r>
        <w:t xml:space="preserve">Published label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Sensitivity¹</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14"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9.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10 Unweighted agreement with published labels</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14"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10.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11 Full signalling question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890/1507 (59.1%; 56.7–61.4)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1212/1507 (80.4%; 79.1–81.8)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685/1417 (48.3%; 46.2–50.5)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1062/1417 (74.9%; 73.4–76.5)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208/306 (68.0%; 63.4–72.2)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266/306 (86.9%; 84.0–89.9)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187/303 (61.7%; 56.4–67.0)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257/303 (84.8%; 81.2–88.3)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244/362 (67.4%; 62.2–72.4)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306/362 (84.5%; 81.0–87.8)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201/353 (56.9%; 51.8–62.0)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292/353 (82.7%; 79.2–86.0)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69/198 (34.8%; 29.2–40.3)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139/198 (70.2%; 65.1–74.7)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73/168 (43.5%; 37.2–49.4)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99/168 (58.9%; 51.9–65.3)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205/339 (60.5%; 55.8–65.1)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319/339 (94.1%; 92.1–96.0)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153/292 (52.4%; 48.2–56.5)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266/292 (91.1%; 88.4–93.7)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164/302 (54.3%; 50.2–58.5)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182/302 (60.3%; 56.4–64.2)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71/301 (23.6%; 19.3–28.0)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148/301 (49.2%; 45.0–53.5)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68.6–83.3)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92/101 (91.1%; 85.9–96.0)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50.5–68.3)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90/101 (89.1%; 83.2–94.1)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48.0–63.7)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69.6–81.4)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75/101 (74.3%; 68.0–80.2)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82.4–93.1)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47/101 (46.5%; 38.0–55.0)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89/101 (88.1%; 82.4–93.1)</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65.7–80.4)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53/102 (52.0%; 44.1–59.8)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81.4–91.2)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36/46 (78.3%; 66.7–88.9)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36/46 (78.3%; 66.7–88.9)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34/42 (81.0%; 70.0–91.1)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34/42 (81.0%; 70.0–91.1)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56/100 (56.0%; 47.5–64.6)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84/100 (84.0%; 77.8–89.9)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64/99 (64.6%; 57.0–72.2)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77/99 (77.8%; 71.7–83.7)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 (41.7%; 15.4–69.2)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6/12 (50.0%; 25.0–76.9)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(33.3%; 0.0–62.5)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(44.4%; 12.5–76.9)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27/98 (27.6%; 20.2–35.1)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59/98 (60.2%; 53.1–67.0)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39/97 (40.2%; 33.0–47.9)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50/97 (51.5%; 43.8–59.1)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6/36 (16.7%; 5.6–29.0)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34/36 (94.4%; 86.8–100.0)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17/31 (54.8%; 38.9–70.0)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63.0–90.6)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23/33 (69.7%; 54.5–83.3)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32/33 (97.0%; 90.6–100.0)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17/21 (81.0%; 63.6–95.5)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13/31 (41.9%; 25.8–59.4)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29.4–62.2)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8/19 (42.1%; 22.7–62.5)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8/19 (42.1%; 22.7–62.5)</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42/101 (41.6%; 33.3–49.5)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78/101 (77.2%; 71.7–82.4)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29/101 (28.7%; 22.0–35.3)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100/101 (99.0%; 97.0–100.0)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58/100 (58.0%; 49.5–66.7)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83/100 (83.0%; 77.0–89.0)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35/68 (51.5%; 41.3–61.8)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53/68 (77.9%; 69.6–85.9)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17/25 (68.0%; 50.0–84.6)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24/25 (96.0%; 87.5–100.0)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5/16 (31.2%; 9.1–53.3)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10/16 (62.5%; 42.1–82.4)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(33.3%; 0.0–75.0)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(33.3%; 0.0–75.0)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65/101 (64.4%; 56.4–72.3)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65.3–79.0)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37/101 (36.6%; 28.4–45.1)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56/100 (56.0%; 48.0–64.0)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64/100 (64.0%; 56.6–71.3)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25/99 (25.3%; 18.2–32.3)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57/99 (57.6%; 50.5–64.9)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43/101 (42.6%; 35.6–49.5)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45/101 (44.6%; 37.6–51.5)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9/101 (8.9%; 4.0–14.1)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37/101 (36.6%; 30.7–42.6)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997/1501 (66.4%; 64.1–68.6)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1365/1501 (90.9%; 89.5–92.3)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848/1414 (60.0%; 57.5–62.6)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1236/1414 (87.4%; 85.8–89.0)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235/306 (76.8%; 72.5–81.0)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298/306 (97.4%; 95.8–98.7)</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207/303 (68.3%; 63.1–73.3)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283/303 (93.4%; 90.7–96.0)</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272/360 (75.6%; 71.2–79.8)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320/360 (88.9%; 85.4–92.0)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217/352 (61.6%; 57.0–66.5)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310/352 (88.1%; 85.3–90.8)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104/194 (53.6%; 47.1–59.9)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175/194 (90.2%; 86.5–93.7)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87/166 (52.4%; 45.3–59.0)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133/166 (80.1%; 73.9–85.6)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198/340 (58.2%; 53.3–63.1)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321/340 (94.4%; 92.4–96.4)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171/293 (58.4%; 53.3–63.3)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271/293 (92.5%; 89.8–95.1)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188/301 (62.5%; 57.9–67.0)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251/301 (83.4%; 79.6–87.0)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166/300 (55.3%; 49.2–61.6)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239/300 (79.7%; 75.6–83.8)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71.6–86.3)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64.0–80.2)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 91.1–98.0)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70.6–85.3)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61/101 (60.4%; 51.5–69.3)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90/101 (89.1%; 83.3–94.1)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74/102 (72.5%; 64.7–80.4)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97/101 (96.0%; 92.2–99.0)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53/101 (52.5%; 44.4–60.8)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91/101 (90.1%; 85.1–94.9)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87.3–94.1)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85.3–92.2)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41/47 (87.2%; 78.3–95.7)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41/47 (87.2%; 78.3–95.7)</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38/42 (90.5%; 82.6–97.6)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38/42 (90.5%; 82.6–97.6)</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66/100 (66.0%; 58.2–73.7)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86/100 (86.0%; 79.4–92.0)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70/99 (70.7%; 63.4–77.8)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85/99 (85.9%; 80.4–91.0)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 (88.9%; 66.7–100.0)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(50.0%; 16.7–85.7)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 (62.5%; 25.0–100.0)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52/96 (54.2%; 45.3–62.9)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86/96 (89.6%; 84.4–94.7)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44/95 (46.3%; 38.0–54.5)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75/95 (78.9%; 72.0–85.6)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8/35 (22.9%; 10.3–36.7)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33/35 (94.3%; 86.2–100.0)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17/30 (56.7%; 40.7–71.4)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24/30 (80.0%; 66.7–92.9)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22/32 (68.8%; 53.1–82.9)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32/32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31.2–72.7)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22/31 (71.0%; 54.8–85.7)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63.0–90.6)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15/20 (75.0%; 55.0–92.0)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16/20 (80.0%; 61.1–95.0)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50/102 (49.0%; 40.2–57.8)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39.2–55.9)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97.1–100.0)</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63/99 (63.6%; 55.6–71.7)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83/99 (83.8%; 78.0–89.8)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36/67 (53.7%; 43.3–64.1)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56/67 (83.6%; 75.7–91.0)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15/25 (60.0%; 43.5–75.0)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24/25 (96.0%; 87.5–100.0)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5/17 (29.4%; 11.1–50.0)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 (52.9%; 33.3–75.0)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(60.0%;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(60.0%; 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55/101 (54.5%; 46.0–63.4)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63.0–79.2)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49/101 (48.5%; 39.2–57.8)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64/101 (63.4%; 54.9–71.7)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62/99 (62.6%; 55.0–70.1)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92/99 (92.9%; 88.0–97.0)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59/98 (60.2%; 51.5–69.0)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86/98 (87.8%; 81.8–93.6)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71/101 (70.3%; 62.7–77.5)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80.0–92.1)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58/101 (57.4%; 48.5–66.3)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89/101 (88.1%; 82.2–94.0)</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11.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Five-level disagreement types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 Level Disagreements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Within 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Cross Direction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evaluable answers for each source and expert. Within-direction: Y↔PY or N↔PN. Cross-direction: disagreements between Y/PY, N/PN or NI. The two counts partition five-level disagreements; N includes agreements.</w:t>
            </w:r>
          </w:p>
        </w:tc>
      </w:tr>
    </w:tbl>
    <w:p>
      <w:pPr/>
      <w:r>
        <w:br w:type="page"/>
      </w:r>
    </w:p>
    <w:p>
      <w:pPr>
        <w:pStyle w:val="Titre2"/>
      </w:pPr>
      <w:r>
        <w:t xml:space="preserve">Paired signalling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(8.1–13.9)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(3.6–6.4)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 (0.3–12.0)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(3.4–16.5)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(−1.1 to 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 (−17.2 to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 (3.5–13.7)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(1.4–15.9)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 (1.4–6.2)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30.9 (24.8–36.7)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(8.2–14.6)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(−5.1 to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(−1.0 to 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11.9 (2.0–22.5)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(−2.0 to 8.0)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(−5.9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(12.0–35.0)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(−2.0 to 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(11.8–31.4)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(−14.3 to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(−14.3 to 9.3)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(−17.3 to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(−100.0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(−100.0 to 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 (−22.6 to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(2.1–14.7)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 (−63.6 to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(14.3–54.5)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19.0 (4.5–36.4)</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(−19.0 to 20.0)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(−19.0 to 20.0)</w:t>
            </w:r>
          </w:p>
        </w:tc>
      </w:tr>
    </w:tbl>
    <w:p>
      <w:pPr/>
      <w:r>
        <w:br w:type="page"/>
      </w:r>
    </w:p>
    <w:p>
      <w:pPr>
        <w:pStyle w:val="Titre2"/>
      </w:pPr>
      <w:r>
        <w:t xml:space="preserve">Paired signalling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−39.6 (−51.0 to −27.7)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 (37.6–58.8)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 (−3.3 to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(−1.5 to 10.1)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46.7 (13.3–76.9)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(7.1–58.3)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(16.8–38.2)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 (11.0–26.0)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(21.4–41.4)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(3.0–12.1)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33.7 (26.3–41.2)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(3.9–12.7)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 (2.8–10.2)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 (1.9–4.7)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 (3.3–14.5)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(2.0–6.3)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 (−2.8 to 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(−9.9 to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(2.8–13.6)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 (−9.4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(0.7–5.5)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 (−1.3 to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(−0.3 to 7.4)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(−3.9 to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(−1.0 to 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 (7.8–28.0)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(3.0–12.9)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(−8.1 to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 (13.9–35.3)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(−2.0 to 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 (18.6–38.2)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(−17.1 to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(−17.1 to 7.3)</w:t>
            </w:r>
          </w:p>
        </w:tc>
      </w:tr>
    </w:tbl>
    <w:p>
      <w:pPr/>
      <w:r>
        <w:br w:type="page"/>
      </w:r>
    </w:p>
    <w:p>
      <w:pPr>
        <w:pStyle w:val="Titre2"/>
      </w:pPr>
      <w:r>
        <w:t xml:space="preserve">Paired signalling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(−14.3 to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(−6.2 to 8.2)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(−60.0 to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(−60.0 to 60.0)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 (−4.1 to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 (4.3–17.0)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−35.7 (−59.3 to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(−4.5 to 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(0.0–30.0)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 (−38.1 to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(−31.8 to 12.5)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 (−42.2 to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(−3.9 to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 (−3.3 to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(−7.0 to 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 (21.4–76.9)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 (23.1–65.0)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(−5.9 to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(−1.0 to 16.0)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(−9.7 to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 (0.0–10.3)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(1.0–25.5)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4.0)</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 confidence interval; 10,000 percentile bootstrap replicates, trials resampled within meta-analysis; seed 20261018.</w:t>
            </w:r>
          </w:p>
        </w:tc>
      </w:tr>
    </w:tbl>
    <w:p>
      <w:pPr/>
      <w:r>
        <w:br w:type="page"/>
      </w:r>
    </w:p>
    <w:p>
      <w:pPr>
        <w:pStyle w:val="Titre2"/>
      </w:pPr>
      <w:r>
        <w:t xml:space="preserve">Signalling comparison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r>
        <w:br w:type="page"/>
      </w:r>
    </w:p>
    <w:p>
      <w:pPr>
        <w:pStyle w:val="Titre2"/>
      </w:pPr>
      <w:r>
        <w:t xml:space="preserve">eTable 12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experts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88.3% (79.7–96.3)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experts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 (6.2–21.0)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experts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(0.0–5.0)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(70.4–86.9)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(9.7–23.3)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(3.7–13.9)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(67.6–84.5)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(16.1–31.6)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(0.0–6.1)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66.2% (58.0–74.6)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(4.6–16.0)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 (19.0–33.7)</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12. CI, confidence interval; 10,000 percentile bootstrap replicates, trials resampled within meta-analysis; seed 20261018. Equal-choice n = 60; expert-specific and split-sensitivity n = 80. Label ties credit both arms. SC, Some concerns; NI, no information; NA, not applicable. Counts and denominators refer to the named cells or answers.</w:t>
            </w:r>
          </w:p>
        </w:tc>
      </w:tr>
    </w:tbl>
    <w:p>
      <w:pPr/>
      <w:r>
        <w:br w:type="page"/>
      </w:r>
    </w:p>
    <w:p>
      <w:pPr>
        <w:pStyle w:val="Titre2"/>
      </w:pPr>
      <w:r>
        <w:t xml:space="preserve">Independent agreement after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371/510 (72.7%) (69.8–75.5)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(0.45–0.56)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324/510 (63.5%) (60.4–66.7)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(0.28–0.40)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301/510 (59.0%) (55.9–62.2)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(0.16–0.26)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(0.69–0.92)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(0.56–0.85)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(58.8–72.5)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(0.05–0.38)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63/102 (61.8%) (52.9–70.6)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43/102 (42.2%) (34.3–49.0)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40/102 (39.2%) (31.4–47.1)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36/102 (35.3%) (28.4–42.2)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(0.09–0.20)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(0.35–0.70)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(69.6–83.3)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(0.06–0.38)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(38.2–53.9)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44/102 (43.1%) (37.3–49.0)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(30.4–46.1)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27/102 (26.5%) (18.6–34.3)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(0.09–0.21)</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32/81 (39.5%) (30.9–48.1)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(0.11–0.29)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21/81 (25.9%) (17.3–34.6)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(0.07–0.19)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24/81 (29.6%) (22.2–37.0)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433/510 (84.9%) (82.2–87.5)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(0.63–0.75)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391/510 (76.7%) (73.3–79.8)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(0.42–0.57)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362/510 (71.0%) (67.5–74.5)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(76.4–81.1)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 (0.55–0.65)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70.1% (67.3–72.9)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(0.36–0.48)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65.0% (62.1–67.9)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(0.20–0.30)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(0.72–0.96)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(81.4–93.1)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(0.43–0.78)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(90.7–96.6)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(0.74–0.91)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88.2% (83.3–93.1)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(0.51–0.80)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(0.23–0.54)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(0.25–0.65)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(0.14–0.54)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76/102 (74.5%) (67.6–81.4)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0.25)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 (70.1–83.3)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(0.26–0.58)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72.5% (67.2–77.9)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(0.11–0.45)</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(61.3–75.0)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(0.59–0.79)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(0.40–0.66)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(0.19–0.41)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60.3% (54.4–66.2)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(0.41–0.56)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(48.0–60.8)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(0.28–0.48)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49.0% (43.1–54.9)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(80.4–92.2)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(0.45–0.75)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(0.14–0.45)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 (80.4–89.7)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(0.42–0.70)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(0.19–0.50)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(71.1–83.3)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(0.11–0.40)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(0.53–0.78)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(57.8–75.5)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(0.32–0.58)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61/102 (59.8%) (52.9–66.7)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(0.14–0.38)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 (72.1–83.3)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(0.47–0.67)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56.4% (49.0–63.7)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(0.24–0.42)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(46.1–56.9)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(62.7–78.4)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(0.51–0.72)</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(47.1–64.7)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(0.35–0.56)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60/81 (74.1%) (65.4–82.7)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(0.55–0.77)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46/81 (56.8%) (46.9–66.7)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(0.36–0.58)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(43.2–61.7)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(47.5–60.8)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(0.34–0.50)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 (34.3–48.0)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 (49.4–64.2)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(0.34–0.52)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 (33.3–49.4)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(0.22–0.38)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40.7% (34.0–48.1)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(0.16–0.33)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349/388 (89.9%) (87.2–92.5)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307/388 (79.1%) (75.7–82.4)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281/388 (72.4%) (68.9–76.1)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(0.24–0.39)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(1.00–1.00)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84/89 (94.4%) (89.9–98.8)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(0.64–0.95)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74/89 (83.1%) (77.2–88.8)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(0.25–0.63)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(81.0–93.9)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(0.22–0.75)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66/81 (81.5%) (75.0–88.0)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(0.01–0.58)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(−0.12 to 0.22)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 (77.8%) (68.5–86.8)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(0.61–0.84)</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37/54 (68.5%) (57.4–79.6)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(0.39–0.73)</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152"/>
        <w:gridCol w:w="2376"/>
        <w:gridCol w:w="504"/>
        <w:gridCol w:w="2376"/>
        <w:gridCol w:w="201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32/54 (59.3%) (48.9–70.2)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(0.17–0.46)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79/85 (92.9%) (88.0–97.6)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(0.53–0.90)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73/85 (85.9%) (79.5–91.9)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(0.19–0.64)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72/85 (84.7%) (77.9–91.5)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(0.14–0.58)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68/79 (86.1%) (78.9–92.7)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47/79 (59.5%) (50.0–68.8)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(0.25–0.48)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42/79 (53.2%) (46.2–60.3)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(0.16–0.31)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35/52 (67.3%) (55.3–78.7)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0.58 (0.43–0.72)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25/52 (48.1%) (35.4–60.4)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(0.26–0.52)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30/42 (71.4%) (58.5–83.3)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(0.37–0.74)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21/42 (50.0%) (35.0–64.1)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20/42 (47.6%) (34.1–61.4)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(0.10–0.41)</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confidence interval; 10,000 percentile bootstrap replicates, trials resampled within meta-analysis; seed 20261018.</w:t>
            </w:r>
          </w:p>
        </w:tc>
      </w:tr>
    </w:tbl>
    <w:p>
      <w:pPr/>
      <w:r>
        <w:br w:type="page"/>
      </w:r>
    </w:p>
    <w:p>
      <w:pPr>
        <w:pStyle w:val="Titre2"/>
      </w:pPr>
      <w:r>
        <w:t xml:space="preserve">Cells changed by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Discordant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bl>
    <w:p>
      <w:pPr/>
      <w:r>
        <w:br w:type="page"/>
      </w:r>
    </w:p>
    <w:p>
      <w:pPr>
        <w:pStyle w:val="Titre2"/>
      </w:pPr>
      <w:r>
        <w:t xml:space="preserve">Cells changed by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Discordant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dian-2018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r>
        <w:br w:type="page"/>
      </w:r>
    </w:p>
    <w:p>
      <w:pPr>
        <w:pStyle w:val="Titre2"/>
      </w:pPr>
      <w:r>
        <w:t xml:space="preserve">eTable 13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13.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14 Evidence binding</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14.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15 Time cost and token use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System runtime (min/trial)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API list-price equivalent (US$/trial)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14"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15.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16 Forced choice on disputed cells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38/154 (24.7%)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128/154 (83.1%)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78/154 (50.6%)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41/154 (26.6%)</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131/154 (85.1%)</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89/154 (57.8%)</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16.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17 Revised ratings and retained or changed answers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Independent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Revised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50/510 (9.8%)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16/510 (3.1%)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273/510 (53.5%)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10/510 (2.0%)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153/510 (30.0%)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27/510 (5.3%)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2/510 (0.4%)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1/510 (0.2%)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335/510 (65.7%)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10/510 (2.0%)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11/510 (2.2%)</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120/510 (23.5%)</w:t>
            </w:r>
          </w:p>
        </w:tc>
      </w:tr>
      <w:tr>
        <w:trPr>
          <w:cantSplit/>
          <w:trHeight w:val="14"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17.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Retained and changed signalling answers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Change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changed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76/2244 (3.4%)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8/2244 (0.4%)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2160/2244 (96.3%)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53/2244 (2.4%)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1/2244 (0.0%)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retained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2190/2244 (97.6%)</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use original workbook question rows, including mixed component changes.</w:t>
            </w:r>
          </w:p>
        </w:tc>
      </w:tr>
    </w:tbl>
    <w:p>
      <w:pPr/>
      <w:r>
        <w:br w:type="page"/>
      </w:r>
    </w:p>
    <w:p>
      <w:pPr>
        <w:pStyle w:val="Titre2"/>
      </w:pPr>
      <w:r>
        <w:t xml:space="preserve">eTable 18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Resolution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Violations</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14"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18.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19 API cost estimates and reconstruction bounds</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bl>
    <w:p>
      <w:pPr/>
      <w:r>
        <w:br w:type="page"/>
      </w:r>
    </w:p>
    <w:p>
      <w:pPr>
        <w:pStyle w:val="Titre2"/>
      </w:pPr>
      <w:r>
        <w:t xml:space="preserve">API cost estimates and reconstruction bounds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14"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19.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20 Token reconciliation</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r>
    </w:tbl>
    <w:p>
      <w:pPr/>
      <w:r>
        <w:br w:type="page"/>
      </w:r>
    </w:p>
    <w:p>
      <w:pPr>
        <w:pStyle w:val="Titre2"/>
      </w:pPr>
      <w:r>
        <w:t xml:space="preserve">Token reconciliation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r>
        <w:br w:type="page"/>
      </w:r>
    </w:p>
    <w:p>
      <w:pPr>
        <w:pStyle w:val="Titre2"/>
      </w:pPr>
      <w:r>
        <w:t xml:space="preserve">Token reconciliation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14"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20.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21 Derived Overall validation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Column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Workbook</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Calculated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Matches</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abbasi-2012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barratt-2024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canvas-program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chua-2022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dapa-hf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declare-timi-58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deliver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empa-reg-outcome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emperor-preserved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emperor-reduced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frat-2019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fulop-2021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bl>
    <w:p>
      <w:pPr/>
      <w:r>
        <w:br w:type="page"/>
      </w:r>
    </w:p>
    <w:p>
      <w:pPr>
        <w:pStyle w:val="Titre2"/>
      </w:pPr>
      <w:r>
        <w:t xml:space="preserve">Derived Overall validation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Column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Workbook</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Calculated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Matches</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guitton-2019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jaber-2016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lv-2023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nefigard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rosen-2021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sanctuary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stop-igan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testing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14"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21. CI, confidence interval; 10,000 percentile bootstrap replicates, trials resampled within meta-analysis; seed 20261018. All 29 differences from 612 column–trial checks are shown: 21 absent published Overall labels, seven permitted High escalations and one Published Low versus derived Some concerns. SC, Some concerns; NI, no information; NA, not applicable. Counts and denominators refer to the named cells or answers.</w:t>
            </w:r>
          </w:p>
        </w:tc>
      </w:tr>
    </w:tbl>
    <w:p>
      <w:pPr/>
      <w:r>
        <w:br w:type="page"/>
      </w:r>
    </w:p>
    <w:p>
      <w:pPr>
        <w:pStyle w:val="Titre2"/>
      </w:pPr>
      <w:r>
        <w:t xml:space="preserve">eTable 22 Evidence and quotation locations for the prior-work comparison</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No; Enforcement — No; Agent — No: “Support Vector Machine” — Methods, Machine-Learning Approach: learned document/sentence classifiers, not official decision-rule execution or a tool-calling agent. Three classifiers use held-out trial reports; model internals differ.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No: “Linking with this dataset may yield better performance.” — Discussion, selective reporting limitation: protocol/registry linkage is future work; current models use trial-publication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Identical inputs — Yes; Fixed-model comparison — No: “test data” — Evaluation, Task 1: the held-out duplicate-assessment trial set is used across three classifier variants. This compares different classifiers, not the same model with/without an assessment workflow.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Reference; Independent reference — Partly: “blinded expert panel” — Introduction and Evaluation: historical independent Cochrane assessments supply RoB labels; newly recruited blinded experts assess supporting-text relevance only. No newly adjudicated RoB reference is implied.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“checked the 100 overall judgements” — Methods, Data analysis: overall-rule check only; 2/100 violations; not signalling-answer/domain conformance.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“We reviewed all ‘two-level discrepancies’” — Methods, Data analysis: unblinded author review against sources, not an independent panel or replacement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Partly: “using Excel based on the RoB2 decision algorithm” — Discussion, Principal Findings: secondary spreadsheet derivation; executable formulas/automation are not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“investigated the discrepancies” — Methods, Statistical Analysis: direct versus algorithm-derived judgments compared; no violation count/rate.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“initially conducted independent judgments” — Methods, Establishment of the Criterion Standard: three trained reviewers, then consensus.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No: “excluding Multimedia Appendices and protocols” — Discussion, Principal Findings; Limitations additionally excludes registration documents. Protocol availability is metadata, not delivery of a protocol.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Lai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“manually corrected based on research team consensus” — Methods, Establishment of the Reference Standard; Results sensitivity analysis: corrections to Toouli assessments, not a new blinded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PMC13614218, Methods and Results.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Nyrhi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“PDF-versions of their protocols when available” — Methods, Prompt development and standardisation: available protocols supplied; DeepSeek received copied protocol text (eAppendix 1). Missing protocols for some trials do not turn documented delivery into Partly; the column does not require a protocol for every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PMC13054287, Methods; eAppendix 1.</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“web-browsing capabilities enabled” — Methods, Data collection and RoB assessment: capability enabled; actual external searches not logged/quantified.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“masked to the OSRA’s assessments” — Same section: three reviewers independently re-rated all 50 trials; consensus/fourth reviewer resolved their differences.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“implemented in code” — Methods, RoB 2.0 Algorithm Implementation: authors recomputed domain judgments.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Enforcement — Partly: “official flowchart aggregation logic” — Methods, Study Design and Data: ROBoto2 component only; general Gemini/Gems emit ratings.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Yes: “conformance was 43%” — Results, Algorithm Conformance and Internal Consistency: 43%, 51%, 60% across configurations; skip logic also checked.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“reference knowledge” — Methods, Study Design and Data: Gems retrieval and ROBoto2 pipeline, not demonstrated autonomous tool calls.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“One experienced reviewer’s assessment served as the reference.” — Methods, Study Design and Data: a single expert, not a blinded panel.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Enforcement — Partly: “implement the logic provided by the ROB2 flowcharts” — Section 4, Domain-level and overall judgments: integrated software aggregation; not proven rejection of invalid/incomplete answers, and Choi found displayed inconsistencies.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Partly: “retains the original LLM responses and rationales” — Section 4, Collecting user feedback: original and human-edited records retained; no independently verified source-integrity bundle.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“retrieved evidence paragraphs as context” — Section 4, Answering signaling questions: retrieval pipeline, not autonomous agent tool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“245 reports” — Section 5, Annotation procedure: manually assessed expert subset used for every LLM evaluation.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Partly: “a verbatim quotation drawn from the retrieved trial text” — Methods, Retrieval-Based Evidence Support and Hallucination Assessment: GPT-5 judge supplies quoted support verdicts; no deterministic occurrence/hash check established.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Partly: “returned structured JSON” — Same section: verdict, quote and rationale are reviewable; no complete independently verifiable source bundle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“post hoc claim verification” — Discussion, Limitations: BM25 plus judge pipeline evaluates generated claims; no autonomous assessment agent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Not reported: “customised agent-based implementations” — Methods, LLM assessment workflow: structured prompting is established, but neither retrieval nor external tool calling is demonstrated.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“two separate teams of human reviewers” — Methods, Study design and data source: concordant historical review ratings selected, not new adjudication.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“ARBITER proposals must reproduce the official algorithms for every domain” — ANALYSIS-PLAN, section 5.4; eTable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Enforcement — Yes: every override must be recorded; no ARBITER domain overrides were recorded in these 510 domains — ANALYSIS-PLAN, section 5.4; Table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Yes: ARBITER D1–D5 rule breaks 0/510 — eTable 13; Table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Yes: “found in the stored source” — ANALYSIS-PLAN, section 5.5; eTable 14 reports 1407/1407 text-span and 14/14 visual evidence bindings.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14"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14"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Yes: stored bundles contain canonical bundle records and verification receipts; eTable 14 reports 102/102 bundle verification. Sources: ARBITER bundles and independent verification receipts.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Yes: “its MCP server.” — ARBITER run input inventory, Setup.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Two blinded human experts independently rated all 510 trial domains without AI, before viewing labels. Sources: the two full-coverage adjudication workbooks, Adjudications sheets; design specification in the full-coverage expert assessment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“the 60 protocol and SAP PDFs” — Unassisted run input inventory, Inputs; ARBITER run input inventory, opening paragraph: registry document acquisition enabled. Availability varies by trial; Yes records delivery of the complete acquired ancillary set to both arms, not that every trial had a protocol.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20" w:before="2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14"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eFigure 1 Absolute agreement by domain and derived Overall</w:t>
      </w:r>
    </w:p>
    <w:p>
      <w:pPr>
        <w:pStyle w:val="Normal"/>
      </w:pPr>
      <w:r>
        <w:rPr/>
        <w:drawing>
          <wp:inline distT="0" distB="0" distL="0" distR="0">
            <wp:extent cx="6126480" cy="530352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5303520"/>
                    </a:xfrm>
                    <a:prstGeom prst="rect">
                      <a:avLst/>
                    </a:prstGeom>
                    <a:noFill/>
                  </pic:spPr>
                </pic:pic>
              </a:graphicData>
            </a:graphic>
          </wp:inline>
        </w:drawing>
      </w:r>
    </w:p>
    <w:p>
      <w:pPr>
        <w:pStyle w:val="ManuscriptBody"/>
      </w:pPr>
      <w:r>
        <w:t xml:space="preserve">Independent domain and signalling comparisons are prespecified; derived Overall comparisons are exploratory. Denominators are shown in the accompanying tables. Short ticks in eFigure 1 show expert-to-expert agreement. CI, confidence interval; 10,000 percentile bootstrap replicates, trials resampled within meta-analysis; seed 20261018.</w:t>
      </w:r>
    </w:p>
    <w:p>
      <w:pPr/>
      <w:r>
        <w:br w:type="page"/>
      </w:r>
    </w:p>
    <w:p>
      <w:pPr>
        <w:pStyle w:val="Titre2"/>
      </w:pPr>
      <w:r>
        <w:t xml:space="preserve">eFigure 2 Collapsed question-level paired differences</w:t>
      </w:r>
    </w:p>
    <w:p>
      <w:pPr>
        <w:pStyle w:val="Normal"/>
      </w:pPr>
      <w:r>
        <w:rPr/>
        <w:drawing>
          <wp:inline distT="0" distB="0" distL="0" distR="0">
            <wp:extent cx="6126480" cy="73152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7315200"/>
                    </a:xfrm>
                    <a:prstGeom prst="rect">
                      <a:avLst/>
                    </a:prstGeom>
                    <a:noFill/>
                  </pic:spPr>
                </pic:pic>
              </a:graphicData>
            </a:graphic>
          </wp:inline>
        </w:drawing>
      </w:r>
    </w:p>
    <w:p>
      <w:pPr>
        <w:pStyle w:val="ManuscriptBody"/>
      </w:pPr>
      <w:r>
        <w:t xml:space="preserve">Independent domain and signalling comparisons are prespecified; derived Overall comparisons are exploratory. Denominators are shown in the accompanying tables. Short ticks in eFigure 1 show expert-to-expert agreement. CI, confidence interval; 10,000 percentile bootstrap replicates, trials resampled within meta-analysis; seed 20261018.</w:t>
      </w:r>
    </w:p>
    <w:p>
      <w:pPr/>
      <w:r>
        <w:br w:type="page"/>
      </w:r>
    </w:p>
    <w:p>
      <w:pPr>
        <w:pStyle w:val="Titre2"/>
      </w:pPr>
      <w:r>
        <w:t xml:space="preserve">eFigure 3 Published label agreement across reviews</w:t>
      </w:r>
    </w:p>
    <w:p>
      <w:pPr>
        <w:pStyle w:val="Normal"/>
      </w:pPr>
      <w:r>
        <w:rPr/>
        <w:drawing>
          <wp:inline distT="0" distB="0" distL="0" distR="0">
            <wp:extent cx="6126480" cy="704088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6126480" cy="7040880"/>
                    </a:xfrm>
                    <a:prstGeom prst="rect">
                      <a:avLst/>
                    </a:prstGeom>
                    <a:noFill/>
                  </pic:spPr>
                </pic:pic>
              </a:graphicData>
            </a:graphic>
          </wp:inline>
        </w:drawing>
      </w:r>
    </w:p>
    <w:p>
      <w:pPr>
        <w:pStyle w:val="ManuscriptBody"/>
      </w:pPr>
      <w:r>
        <w:t xml:space="preserve">Independent domain and signalling comparisons are prespecified; derived Overall comparisons are exploratory. Denominators are shown in the accompanying tables. Short ticks in eFigure 1 show expert-to-expert agreement. CI, confidence interval; 10,000 percentile bootstrap replicates, trials resampled within meta-analysis; seed 20261018.</w:t>
      </w:r>
    </w:p>
    <w:p>
      <w:pPr/>
      <w:r>
        <w:br w:type="page"/>
      </w:r>
    </w:p>
    <w:p>
      <w:pPr>
        <w:pStyle w:val="Titre2"/>
      </w:pPr>
      <w:r>
        <w:t xml:space="preserve">eFigure 4 Domain-level signalling agreement</w:t>
      </w:r>
    </w:p>
    <w:p>
      <w:pPr>
        <w:pStyle w:val="Normal"/>
      </w:pPr>
      <w:r>
        <w:rPr/>
        <w:drawing>
          <wp:inline distT="0" distB="0" distL="0" distR="0">
            <wp:extent cx="6126480" cy="493776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6126480" cy="4937760"/>
                    </a:xfrm>
                    <a:prstGeom prst="rect">
                      <a:avLst/>
                    </a:prstGeom>
                    <a:noFill/>
                  </pic:spPr>
                </pic:pic>
              </a:graphicData>
            </a:graphic>
          </wp:inline>
        </w:drawing>
      </w:r>
    </w:p>
    <w:p>
      <w:pPr>
        <w:pStyle w:val="ManuscriptBody"/>
      </w:pPr>
      <w:r>
        <w:t xml:space="preserve">Independent domain and signalling comparisons are prespecified; derived Overall comparisons are exploratory. Denominators are shown in the accompanying tables. Short ticks in eFigure 1 show expert-to-expert agreement. CI, confidence interval; 10,000 percentile bootstrap replicates, trials resampled within meta-analysis; seed 20261018.</w:t>
      </w:r>
    </w:p>
    <w:p>
      <w:pPr/>
      <w:r>
        <w:br w:type="page"/>
      </w:r>
    </w:p>
    <w:p>
      <w:pPr>
        <w:pStyle w:val="Titre2"/>
      </w:pPr>
      <w:r>
        <w:t xml:space="preserve">eFigure 5 All signalling question paired differences</w:t>
      </w:r>
    </w:p>
    <w:p>
      <w:pPr>
        <w:pStyle w:val="Normal"/>
      </w:pPr>
      <w:r>
        <w:rPr/>
        <w:drawing>
          <wp:inline distT="0" distB="0" distL="0" distR="0">
            <wp:extent cx="6126480" cy="7315200"/>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6126480" cy="7315200"/>
                    </a:xfrm>
                    <a:prstGeom prst="rect">
                      <a:avLst/>
                    </a:prstGeom>
                    <a:noFill/>
                  </pic:spPr>
                </pic:pic>
              </a:graphicData>
            </a:graphic>
          </wp:inline>
        </w:drawing>
      </w:r>
    </w:p>
    <w:p>
      <w:pPr>
        <w:pStyle w:val="ManuscriptBody"/>
      </w:pPr>
      <w:r>
        <w:t xml:space="preserve">Independent domain and signalling comparisons are prespecified; derived Overall comparisons are exploratory. Denominators are shown in the accompanying tables. Short ticks in eFigure 1 show expert-to-expert agreement. CI, confidence interval; 10,000 percentile bootstrap replicates, trials resampled within meta-analysis; seed 20261018.</w:t>
      </w:r>
    </w:p>
    <w:p>
      <w:pPr/>
      <w:r>
        <w:br w:type="page"/>
      </w:r>
    </w:p>
    <w:p>
      <w:pPr>
        <w:pStyle w:val="Titre1"/>
      </w:pPr>
      <w:r>
        <w:t xml:space="preserve">AVATAR complete trace</w:t>
      </w:r>
    </w:p>
    <w:p>
      <w:pPr>
        <w:pStyle w:val="Titre2"/>
      </w:pPr>
      <w:r>
        <w:t xml:space="preserve">Part A. Answers and judgements</w:t>
      </w:r>
    </w:p>
    <w:p>
      <w:pPr>
        <w:pStyle w:val="Titre2"/>
      </w:pPr>
      <w:r>
        <w:t xml:space="preserve">D1 judgement / rationale</w:t>
      </w:r>
    </w:p>
    <w:p>
      <w:pPr>
        <w:pStyle w:val="ManuscriptBody"/>
      </w:pPr>
      <w:r>
        <w:t xml:space="preserve">ARBITER: Proposed: Low; adopted: Low</w:t>
      </w:r>
    </w:p>
    <w:p>
      <w:pPr>
        <w:pStyle w:val="ManuscriptBody"/>
      </w:pPr>
      <w:r>
        <w:t xml:space="preserve">Unassisted: Low
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p>
      <w:pPr>
        <w:pStyle w:val="Titre2"/>
      </w:pPr>
      <w:r>
        <w:t xml:space="preserve">1.1 Random allocation sequence</w:t>
      </w:r>
    </w:p>
    <w:p>
      <w:pPr>
        <w:pStyle w:val="ManuscriptBody"/>
      </w:pPr>
      <w:r>
        <w:t xml:space="preserve">ARBITER: Yes</w:t>
      </w:r>
    </w:p>
    <w:p>
      <w:pPr>
        <w:pStyle w:val="ManuscriptBody"/>
      </w:pPr>
      <w:r>
        <w:t xml:space="preserve">Evidence handles (type): eh_d6c269341c7d8a5d (direct support)</w:t>
      </w:r>
    </w:p>
    <w:p>
      <w:pPr>
        <w:pStyle w:val="ManuscriptBody"/>
      </w:pPr>
      <w:r>
        <w:t xml:space="preserve">Justification: The original AVATAR paper states the assignment was computer-generated and stratified by centre using a permuted-block sequence with variable block size, which is a random component.</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1.2 Concealment until enrolment and assignment</w:t>
      </w:r>
    </w:p>
    <w:p>
      <w:pPr>
        <w:pStyle w:val="ManuscriptBody"/>
      </w:pPr>
      <w:r>
        <w:t xml:space="preserve">ARBITER: Yes</w:t>
      </w:r>
    </w:p>
    <w:p>
      <w:pPr>
        <w:pStyle w:val="ManuscriptBody"/>
      </w:pPr>
      <w:r>
        <w:t xml:space="preserve">Evidence handles (type): eh_d6c269341c7d8a5d (direct support)</w:t>
      </w:r>
    </w:p>
    <w:p>
      <w:pPr>
        <w:pStyle w:val="ManuscriptBody"/>
      </w:pPr>
      <w:r>
        <w:t xml:space="preserve">Justification: Patients were randomized using a web-based interactive response system, a central remote allocation method independent of enrolment staff. Variable block size limits predictability of the last allocations in a block.</w:t>
      </w:r>
    </w:p>
    <w:p>
      <w:pPr>
        <w:pStyle w:val="ManuscriptBody"/>
      </w:pPr>
      <w:r>
        <w:t xml:space="preserve">Unknowns: Whether the central system was run by a unit independent of enrolling staff is not stated explicitly.</w:t>
      </w:r>
    </w:p>
    <w:p>
      <w:pPr>
        <w:pStyle w:val="ManuscriptBody"/>
      </w:pPr>
      <w:r>
        <w:t xml:space="preserve">Counterevidence: —</w:t>
      </w:r>
    </w:p>
    <w:p>
      <w:pPr>
        <w:pStyle w:val="ManuscriptBody"/>
      </w:pPr>
      <w:r>
        <w:t xml:space="preserve">Unassisted: Yes</w:t>
      </w:r>
    </w:p>
    <w:p>
      <w:pPr>
        <w:pStyle w:val="Titre2"/>
      </w:pPr>
      <w:r>
        <w:t xml:space="preserve">1.3 Preintervention imbalance suggesting a randomisation problem</w:t>
      </w:r>
    </w:p>
    <w:p>
      <w:pPr>
        <w:pStyle w:val="ManuscriptBody"/>
      </w:pPr>
      <w:r>
        <w:t xml:space="preserve">ARBITER: No</w:t>
      </w:r>
    </w:p>
    <w:p>
      <w:pPr>
        <w:pStyle w:val="ManuscriptBody"/>
      </w:pPr>
      <w:r>
        <w:t xml:space="preserve">Evidence handles (type): eh_92eed84c7b98e37c (direct support); eh_58abdac52262aa33 (context)</w:t>
      </w:r>
    </w:p>
    <w:p>
      <w:pPr>
        <w:pStyle w:val="ManuscriptBody"/>
      </w:pPr>
      <w:r>
        <w:t xml:space="preserve">Justification: Group sizes were 78 vs 79. Of about 25 baseline comparisons in Table 2, only age (P=.02) and haemoglobin (P=.01) were nominally significant, and diabetes was P=.07. The age difference is 1 year in medians. This is compatible with chance and none approaches P&lt;0.001.</w:t>
      </w:r>
    </w:p>
    <w:p>
      <w:pPr>
        <w:pStyle w:val="ManuscriptBody"/>
      </w:pPr>
      <w:r>
        <w:t xml:space="preserve">Unknowns: —</w:t>
      </w:r>
    </w:p>
    <w:p>
      <w:pPr>
        <w:pStyle w:val="ManuscriptBody"/>
      </w:pPr>
      <w:r>
        <w:t xml:space="preserve">Counterevidence: Basis 1: Diabetes was less common in early surgery (17.9% vs 29.1%), which could favour surgery, but P=.07 is compatible with chance and the 2022 paper attributes it to chance.</w:t>
      </w:r>
    </w:p>
    <w:p>
      <w:pPr>
        <w:pStyle w:val="ManuscriptBody"/>
      </w:pPr>
      <w:r>
        <w:t xml:space="preserve">Unassisted: Probably no</w:t>
      </w:r>
    </w:p>
    <w:p>
      <w:pPr/>
      <w:r>
        <w:br w:type="page"/>
      </w:r>
    </w:p>
    <w:p>
      <w:pPr>
        <w:pStyle w:val="Titre2"/>
      </w:pPr>
      <w:r>
        <w:t xml:space="preserve">D2 judgement / rationale</w:t>
      </w:r>
    </w:p>
    <w:p>
      <w:pPr>
        <w:pStyle w:val="ManuscriptBody"/>
      </w:pPr>
      <w:r>
        <w:t xml:space="preserve">ARBITER: Proposed: Low; adopted: Low</w:t>
      </w:r>
    </w:p>
    <w:p>
      <w:pPr>
        <w:pStyle w:val="ManuscriptBody"/>
      </w:pPr>
      <w:r>
        <w:t xml:space="preserve">Unassisted: Low
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p>
      <w:pPr>
        <w:pStyle w:val="Titre2"/>
      </w:pPr>
      <w:r>
        <w:t xml:space="preserve">2.1 Participants aware of assignment</w:t>
      </w:r>
    </w:p>
    <w:p>
      <w:pPr>
        <w:pStyle w:val="ManuscriptBody"/>
      </w:pPr>
      <w:r>
        <w:t xml:space="preserve">ARBITER: Yes</w:t>
      </w:r>
    </w:p>
    <w:p>
      <w:pPr>
        <w:pStyle w:val="ManuscriptBody"/>
      </w:pPr>
      <w:r>
        <w:t xml:space="preserve">Evidence handles (type): eh_975aac3202107531 (direct support); eh_3ce4199af9d487f3 (context)</w:t>
      </w:r>
    </w:p>
    <w:p>
      <w:pPr>
        <w:pStyle w:val="ManuscriptBody"/>
      </w:pPr>
      <w:r>
        <w:t xml:space="preserve">Justification: The registry lists masking as NONE, and the comparison is surgical valve replacement versus watchful waiting, which cannot be hidden from participants.</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2.2 Carers or intervention providers aware of assignment</w:t>
      </w:r>
    </w:p>
    <w:p>
      <w:pPr>
        <w:pStyle w:val="ManuscriptBody"/>
      </w:pPr>
      <w:r>
        <w:t xml:space="preserve">ARBITER: Yes</w:t>
      </w:r>
    </w:p>
    <w:p>
      <w:pPr>
        <w:pStyle w:val="ManuscriptBody"/>
      </w:pPr>
      <w:r>
        <w:t xml:space="preserve">Evidence handles (type): eh_975aac3202107531 (direct support)</w:t>
      </w:r>
    </w:p>
    <w:p>
      <w:pPr>
        <w:pStyle w:val="ManuscriptBody"/>
      </w:pPr>
      <w:r>
        <w:t xml:space="preserve">Justification: Open-label surgery versus conservative care means clinicians and surgeons delivering care knew the assignment. Allocation was concealed until assignment, but blinding afterwards was impossible.</w:t>
      </w:r>
    </w:p>
    <w:p>
      <w:pPr>
        <w:pStyle w:val="ManuscriptBody"/>
      </w:pPr>
      <w:r>
        <w:t xml:space="preserve">Unknowns: —</w:t>
      </w:r>
    </w:p>
    <w:p>
      <w:pPr>
        <w:pStyle w:val="ManuscriptBody"/>
      </w:pPr>
      <w:r>
        <w:t xml:space="preserve">Counterevidence: —</w:t>
      </w:r>
    </w:p>
    <w:p>
      <w:pPr>
        <w:pStyle w:val="ManuscriptBody"/>
      </w:pPr>
      <w:r>
        <w:t xml:space="preserve">Unassisted: Yes</w:t>
      </w:r>
    </w:p>
    <w:p>
      <w:pPr>
        <w:pStyle w:val="Titre2"/>
      </w:pPr>
      <w:r>
        <w:t xml:space="preserve">2.3 Deviations arising from trial context</w:t>
      </w:r>
    </w:p>
    <w:p>
      <w:pPr>
        <w:pStyle w:val="ManuscriptBody"/>
      </w:pPr>
      <w:r>
        <w:t xml:space="preserve">ARBITER: Probably no</w:t>
      </w:r>
    </w:p>
    <w:p>
      <w:pPr>
        <w:pStyle w:val="ManuscriptBody"/>
      </w:pPr>
      <w:r>
        <w:t xml:space="preserve">Evidence handles (type): eh_c8e0958840636206 (direct support); eh_22d01d9384e1a677 (context); eh_4b5761bf573cc287 (context); eh_05e667d2d41d3858 (context)</w:t>
      </w:r>
    </w:p>
    <w:p>
      <w:pPr>
        <w:pStyle w:val="ManuscriptBody"/>
      </w:pPr>
      <w:r>
        <w:t xml:space="preserve">Justification: 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p>
      <w:pPr>
        <w:pStyle w:val="ManuscriptBody"/>
      </w:pPr>
      <w:r>
        <w:t xml:space="preserve">Unknowns: Reasons for declining surgery are not described in detail.</w:t>
      </w:r>
    </w:p>
    <w:p>
      <w:pPr>
        <w:pStyle w:val="ManuscriptBody"/>
      </w:pPr>
      <w:r>
        <w:t xml:space="preserve">Counterevidence: Basis 3: The authors note pandemic-related follow-up substitution by phone and lengthened AVR delays could have increased clinical risk. These arose from the pandemic, not the trial context, and no deaths occurred while awaiting scheduled surgery in the conservative group.</w:t>
      </w:r>
    </w:p>
    <w:p>
      <w:pPr>
        <w:pStyle w:val="ManuscriptBody"/>
      </w:pPr>
      <w:r>
        <w:t xml:space="preserve">Unassisted: Probably no</w:t>
      </w:r>
    </w:p>
    <w:p>
      <w:pPr/>
      <w:r>
        <w:br w:type="page"/>
      </w:r>
    </w:p>
    <w:p>
      <w:pPr>
        <w:pStyle w:val="Titre2"/>
      </w:pPr>
      <w:r>
        <w:t xml:space="preserve">2.4 Deviations affecting the outcome</w:t>
      </w:r>
    </w:p>
    <w:p>
      <w:pPr>
        <w:pStyle w:val="ManuscriptBody"/>
      </w:pPr>
      <w:r>
        <w:t xml:space="preserve">ARBITER: Not asked (inactive; branching)</w:t>
      </w:r>
    </w:p>
    <w:p>
      <w:pPr>
        <w:pStyle w:val="ManuscriptBody"/>
      </w:pPr>
      <w:r>
        <w:t xml:space="preserve">Unassisted: Not applicable</w:t>
      </w:r>
    </w:p>
    <w:p>
      <w:pPr>
        <w:pStyle w:val="Titre2"/>
      </w:pPr>
      <w:r>
        <w:t xml:space="preserve">2.5 Deviations balanced across groups</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2.6 Appropriate analysis of assignment effect</w:t>
      </w:r>
    </w:p>
    <w:p>
      <w:pPr>
        <w:pStyle w:val="ManuscriptBody"/>
      </w:pPr>
      <w:r>
        <w:t xml:space="preserve">ARBITER: Yes</w:t>
      </w:r>
    </w:p>
    <w:p>
      <w:pPr>
        <w:pStyle w:val="ManuscriptBody"/>
      </w:pPr>
      <w:r>
        <w:t xml:space="preserve">Evidence handles (type): eh_30fa222ec5523dcc (direct support); eh_c8e0958840636206 (direct support)</w:t>
      </w:r>
    </w:p>
    <w:p>
      <w:pPr>
        <w:pStyle w:val="ManuscriptBody"/>
      </w:pPr>
      <w:r>
        <w:t xml:space="preserve">Justification: All analyses were intention-to-treat as randomized, and all 157 patients were included. One early-surgery patient lost to follow-up was censored and still analysed.</w:t>
      </w:r>
    </w:p>
    <w:p>
      <w:pPr>
        <w:pStyle w:val="ManuscriptBody"/>
      </w:pPr>
      <w:r>
        <w:t xml:space="preserve">Unknowns: —</w:t>
      </w:r>
    </w:p>
    <w:p>
      <w:pPr>
        <w:pStyle w:val="ManuscriptBody"/>
      </w:pPr>
      <w:r>
        <w:t xml:space="preserve">Counterevidence: —</w:t>
      </w:r>
    </w:p>
    <w:p>
      <w:pPr>
        <w:pStyle w:val="ManuscriptBody"/>
      </w:pPr>
      <w:r>
        <w:t xml:space="preserve">Unassisted: Yes</w:t>
      </w:r>
    </w:p>
    <w:p>
      <w:pPr>
        <w:pStyle w:val="Titre2"/>
      </w:pPr>
      <w:r>
        <w:t xml:space="preserve">2.7 Substantial impact of analysing outside assigned groups</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D3 judgement / rationale</w:t>
      </w:r>
    </w:p>
    <w:p>
      <w:pPr>
        <w:pStyle w:val="ManuscriptBody"/>
      </w:pPr>
      <w:r>
        <w:t xml:space="preserve">ARBITER: Proposed: Low; adopted: Low</w:t>
      </w:r>
    </w:p>
    <w:p>
      <w:pPr>
        <w:pStyle w:val="ManuscriptBody"/>
      </w:pPr>
      <w:r>
        <w:t xml:space="preserve">Unassisted: Low
All 157 patients were analysed. One patient lost to follow-up was censored.</w:t>
      </w:r>
    </w:p>
    <w:p>
      <w:pPr>
        <w:pStyle w:val="Titre2"/>
      </w:pPr>
      <w:r>
        <w:t xml:space="preserve">3.1 Outcome data available for nearly everyone</w:t>
      </w:r>
    </w:p>
    <w:p>
      <w:pPr>
        <w:pStyle w:val="ManuscriptBody"/>
      </w:pPr>
      <w:r>
        <w:t xml:space="preserve">ARBITER: Yes</w:t>
      </w:r>
    </w:p>
    <w:p>
      <w:pPr>
        <w:pStyle w:val="ManuscriptBody"/>
      </w:pPr>
      <w:r>
        <w:t xml:space="preserve">Evidence handles (type): eh_e66d374e838e8c6d (direct support)</w:t>
      </w:r>
    </w:p>
    <w:p>
      <w:pPr>
        <w:pStyle w:val="ManuscriptBody"/>
      </w:pPr>
      <w:r>
        <w:t xml:space="preserve">Justification: 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3.2 Evidence against bias from missing data</w:t>
      </w:r>
    </w:p>
    <w:p>
      <w:pPr>
        <w:pStyle w:val="ManuscriptBody"/>
      </w:pPr>
      <w:r>
        <w:t xml:space="preserve">ARBITER: Not asked (inactive; branching)</w:t>
      </w:r>
    </w:p>
    <w:p>
      <w:pPr>
        <w:pStyle w:val="ManuscriptBody"/>
      </w:pPr>
      <w:r>
        <w:t xml:space="preserve">Unassisted: Not applicable</w:t>
      </w:r>
    </w:p>
    <w:p>
      <w:pPr>
        <w:pStyle w:val="Titre2"/>
      </w:pPr>
      <w:r>
        <w:t xml:space="preserve">3.3 Missingness potentially depends on true outcome</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3.4 Missingness likely depends on true outcome</w:t>
      </w:r>
    </w:p>
    <w:p>
      <w:pPr>
        <w:pStyle w:val="ManuscriptBody"/>
      </w:pPr>
      <w:r>
        <w:t xml:space="preserve">ARBITER: Not asked (inactive; branching)</w:t>
      </w:r>
    </w:p>
    <w:p>
      <w:pPr>
        <w:pStyle w:val="ManuscriptBody"/>
      </w:pPr>
      <w:r>
        <w:t xml:space="preserve">Unassisted: Not applicable</w:t>
      </w:r>
    </w:p>
    <w:p>
      <w:pPr>
        <w:pStyle w:val="Titre2"/>
      </w:pPr>
      <w:r>
        <w:t xml:space="preserve">D4 judgement / rationale</w:t>
      </w:r>
    </w:p>
    <w:p>
      <w:pPr>
        <w:pStyle w:val="ManuscriptBody"/>
      </w:pPr>
      <w:r>
        <w:t xml:space="preserve">ARBITER: Proposed: Low; adopted: Low</w:t>
      </w:r>
    </w:p>
    <w:p>
      <w:pPr>
        <w:pStyle w:val="ManuscriptBody"/>
      </w:pPr>
      <w:r>
        <w:t xml:space="preserve">Unassisted: Low
Death is an objective outcome. Assessors were not blinded to allocation, but this cannot plausibly bias an all-cause death count.</w:t>
      </w:r>
    </w:p>
    <w:p>
      <w:pPr/>
      <w:r>
        <w:br w:type="page"/>
      </w:r>
    </w:p>
    <w:p>
      <w:pPr>
        <w:pStyle w:val="Titre2"/>
      </w:pPr>
      <w:r>
        <w:t xml:space="preserve">4.1 Inappropriate measurement method</w:t>
      </w:r>
    </w:p>
    <w:p>
      <w:pPr>
        <w:pStyle w:val="ManuscriptBody"/>
      </w:pPr>
      <w:r>
        <w:t xml:space="preserve">ARBITER: Probably no</w:t>
      </w:r>
    </w:p>
    <w:p>
      <w:pPr>
        <w:pStyle w:val="ManuscriptBody"/>
      </w:pPr>
      <w:r>
        <w:t xml:space="preserve">Evidence handles (type): eh_3ce4199af9d487f3 (direct support)</w:t>
      </w:r>
    </w:p>
    <w:p>
      <w:pPr>
        <w:pStyle w:val="ManuscriptBody"/>
      </w:pPr>
      <w:r>
        <w:t xml:space="preserve">Justification: 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p>
      <w:pPr>
        <w:pStyle w:val="ManuscriptBody"/>
      </w:pPr>
      <w:r>
        <w:t xml:space="preserve">Unknowns: —</w:t>
      </w:r>
    </w:p>
    <w:p>
      <w:pPr>
        <w:pStyle w:val="ManuscriptBody"/>
      </w:pPr>
      <w:r>
        <w:t xml:space="preserve">Counterevidence: —</w:t>
      </w:r>
    </w:p>
    <w:p>
      <w:pPr>
        <w:pStyle w:val="ManuscriptBody"/>
      </w:pPr>
      <w:r>
        <w:t xml:space="preserve">Unassisted: No</w:t>
      </w:r>
    </w:p>
    <w:p>
      <w:pPr>
        <w:pStyle w:val="Titre2"/>
      </w:pPr>
      <w:r>
        <w:t xml:space="preserve">4.2 Measurement differs across groups</w:t>
      </w:r>
    </w:p>
    <w:p>
      <w:pPr>
        <w:pStyle w:val="ManuscriptBody"/>
      </w:pPr>
      <w:r>
        <w:t xml:space="preserve">ARBITER: Probably no</w:t>
      </w:r>
    </w:p>
    <w:p>
      <w:pPr>
        <w:pStyle w:val="ManuscriptBody"/>
      </w:pPr>
      <w:r>
        <w:t xml:space="preserve">Evidence handles (type): eh_3ce4199af9d487f3 (direct support)</w:t>
      </w:r>
    </w:p>
    <w:p>
      <w:pPr>
        <w:pStyle w:val="ManuscriptBody"/>
      </w:pPr>
      <w:r>
        <w:t xml:space="preserve">Justification: Both arms followed the same protocol schedule, and COVID-related phone follow-up applied to patients regardless of arm. Death is hard to miss, so any difference in contact opportunities (e.g. surgery visits) is unlikely to change ascertainment of death.</w:t>
      </w:r>
    </w:p>
    <w:p>
      <w:pPr>
        <w:pStyle w:val="ManuscriptBody"/>
      </w:pPr>
      <w:r>
        <w:t xml:space="preserve">Unknowns: Whether vital status was verified from registries in both arms is not stated.</w:t>
      </w:r>
    </w:p>
    <w:p>
      <w:pPr>
        <w:pStyle w:val="ManuscriptBody"/>
      </w:pPr>
      <w:r>
        <w:t xml:space="preserve">Counterevidence: —</w:t>
      </w:r>
    </w:p>
    <w:p>
      <w:pPr>
        <w:pStyle w:val="ManuscriptBody"/>
      </w:pPr>
      <w:r>
        <w:t xml:space="preserve">Unassisted: No</w:t>
      </w:r>
    </w:p>
    <w:p>
      <w:pPr/>
      <w:r>
        <w:br w:type="page"/>
      </w:r>
    </w:p>
    <w:p>
      <w:pPr>
        <w:pStyle w:val="Titre2"/>
      </w:pPr>
      <w:r>
        <w:t xml:space="preserve">4.3 Assessors aware of received intervention</w:t>
      </w:r>
    </w:p>
    <w:p>
      <w:pPr>
        <w:pStyle w:val="ManuscriptBody"/>
      </w:pPr>
      <w:r>
        <w:t xml:space="preserve">ARBITER: Yes</w:t>
      </w:r>
    </w:p>
    <w:p>
      <w:pPr>
        <w:pStyle w:val="ManuscriptBody"/>
      </w:pPr>
      <w:r>
        <w:t xml:space="preserve">Evidence handles (type): eh_3ce4199af9d487f3 (direct support)</w:t>
      </w:r>
    </w:p>
    <w:p>
      <w:pPr>
        <w:pStyle w:val="ManuscriptBody"/>
      </w:pPr>
      <w:r>
        <w:t xml:space="preserve">Justification: The trial was open-label (registry masking: none), and the report states that DSMB members were not blinded to allocation when reviewing events. Site investigators recording deaths were also aware of the allocation.</w:t>
      </w:r>
    </w:p>
    <w:p>
      <w:pPr>
        <w:pStyle w:val="ManuscriptBody"/>
      </w:pPr>
      <w:r>
        <w:t xml:space="preserve">Unknowns: —</w:t>
      </w:r>
    </w:p>
    <w:p>
      <w:pPr>
        <w:pStyle w:val="ManuscriptBody"/>
      </w:pPr>
      <w:r>
        <w:t xml:space="preserve">Counterevidence: —</w:t>
      </w:r>
    </w:p>
    <w:p>
      <w:pPr>
        <w:pStyle w:val="ManuscriptBody"/>
      </w:pPr>
      <w:r>
        <w:t xml:space="preserve">Unassisted: Not applicable</w:t>
      </w:r>
    </w:p>
    <w:p>
      <w:pPr>
        <w:pStyle w:val="Titre2"/>
      </w:pPr>
      <w:r>
        <w:t xml:space="preserve">4.4 Assessment potentially influenced by awareness</w:t>
      </w:r>
    </w:p>
    <w:p>
      <w:pPr>
        <w:pStyle w:val="ManuscriptBody"/>
      </w:pPr>
      <w:r>
        <w:t xml:space="preserve">ARBITER: Probably no</w:t>
      </w:r>
    </w:p>
    <w:p>
      <w:pPr>
        <w:pStyle w:val="ManuscriptBody"/>
      </w:pPr>
      <w:r>
        <w:t xml:space="preserve">Evidence handles (type): eh_3ce4199af9d487f3 (inference)</w:t>
      </w:r>
    </w:p>
    <w:p>
      <w:pPr>
        <w:pStyle w:val="ManuscriptBody"/>
      </w:pPr>
      <w:r>
        <w:t xml:space="preserve">Justification: All-cause death is an observer-reported outcome that involves no judgement, so knowledge of the intervention is unlikely to influence its assessment, even though the assessors were aware of the allocation.</w:t>
      </w:r>
    </w:p>
    <w:p>
      <w:pPr>
        <w:pStyle w:val="ManuscriptBody"/>
      </w:pPr>
      <w:r>
        <w:t xml:space="preserve">Unknowns: —</w:t>
      </w:r>
    </w:p>
    <w:p>
      <w:pPr>
        <w:pStyle w:val="ManuscriptBody"/>
      </w:pPr>
      <w:r>
        <w:t xml:space="preserve">Counterevidence: —</w:t>
      </w:r>
    </w:p>
    <w:p>
      <w:pPr>
        <w:pStyle w:val="ManuscriptBody"/>
      </w:pPr>
      <w:r>
        <w:t xml:space="preserve">Unassisted: Not applicable</w:t>
      </w:r>
    </w:p>
    <w:p>
      <w:pPr/>
      <w:r>
        <w:br w:type="page"/>
      </w:r>
    </w:p>
    <w:p>
      <w:pPr>
        <w:pStyle w:val="Titre2"/>
      </w:pPr>
      <w:r>
        <w:t xml:space="preserve">4.5 Assessment likely influenced by awareness</w:t>
      </w:r>
    </w:p>
    <w:p>
      <w:pPr>
        <w:pStyle w:val="ManuscriptBody"/>
      </w:pPr>
      <w:r>
        <w:t xml:space="preserve">ARBITER: Not asked (inactive; branching)</w:t>
      </w:r>
    </w:p>
    <w:p>
      <w:pPr>
        <w:pStyle w:val="ManuscriptBody"/>
      </w:pPr>
      <w:r>
        <w:t xml:space="preserve">Unassisted: Not applicable</w:t>
      </w:r>
    </w:p>
    <w:p>
      <w:pPr>
        <w:pStyle w:val="Titre2"/>
      </w:pPr>
      <w:r>
        <w:t xml:space="preserve">D5 judgement / rationale</w:t>
      </w:r>
    </w:p>
    <w:p>
      <w:pPr>
        <w:pStyle w:val="ManuscriptBody"/>
      </w:pPr>
      <w:r>
        <w:t xml:space="preserve">ARBITER: Proposed: Some concerns; adopted: Some concerns</w:t>
      </w:r>
    </w:p>
    <w:p>
      <w:pPr>
        <w:pStyle w:val="ManuscriptBody"/>
      </w:pPr>
      <w:r>
        <w:t xml:space="preserve">Unassisted: Low
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p>
      <w:pPr/>
      <w:r>
        <w:br w:type="page"/>
      </w:r>
    </w:p>
    <w:p>
      <w:pPr>
        <w:pStyle w:val="Titre2"/>
      </w:pPr>
      <w:r>
        <w:t xml:space="preserve">5.1 Analysis plan finalised before unblinding</w:t>
      </w:r>
    </w:p>
    <w:p>
      <w:pPr>
        <w:pStyle w:val="ManuscriptBody"/>
      </w:pPr>
      <w:r>
        <w:t xml:space="preserve">ARBITER: No information</w:t>
      </w:r>
    </w:p>
    <w:p>
      <w:pPr>
        <w:pStyle w:val="ManuscriptBody"/>
      </w:pPr>
      <w:r>
        <w:t xml:space="preserve">Evidence handles (type): eh_d54a2600ddc753b3 (context); eh_7ad155913c1c5826 (context); eh_30fa222ec5523dcc (context); eh_7961ea6680167af2 (context)</w:t>
      </w:r>
    </w:p>
    <w:p>
      <w:pPr>
        <w:pStyle w:val="ManuscriptBody"/>
      </w:pPr>
      <w:r>
        <w:t xml:space="preserve">Justification: 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p>
      <w:pPr>
        <w:pStyle w:val="ManuscriptBody"/>
      </w:pPr>
      <w:r>
        <w:t xml:space="preserve">Unknowns: Whether the published protocol listed time to all-cause death and its Cox analysis, and its date relative to unblinded data.</w:t>
      </w:r>
    </w:p>
    <w:p>
      <w:pPr>
        <w:pStyle w:val="ManuscriptBody"/>
      </w:pPr>
      <w:r>
        <w:t xml:space="preserve">Counterevidence: —</w:t>
      </w:r>
    </w:p>
    <w:p>
      <w:pPr>
        <w:pStyle w:val="ManuscriptBody"/>
      </w:pPr>
      <w:r>
        <w:t xml:space="preserve">Unassisted: Probably yes</w:t>
      </w:r>
    </w:p>
    <w:p>
      <w:pPr>
        <w:pStyle w:val="Titre2"/>
      </w:pPr>
      <w:r>
        <w:t xml:space="preserve">5.2 Result selected from eligible outcome measurements</w:t>
      </w:r>
    </w:p>
    <w:p>
      <w:pPr>
        <w:pStyle w:val="ManuscriptBody"/>
      </w:pPr>
      <w:r>
        <w:t xml:space="preserve">ARBITER: Probably no</w:t>
      </w:r>
    </w:p>
    <w:p>
      <w:pPr>
        <w:pStyle w:val="ManuscriptBody"/>
      </w:pPr>
      <w:r>
        <w:t xml:space="preserve">Evidence handles (type): eh_30fa222ec5523dcc (direct support); eh_d54a2600ddc753b3 (context)</w:t>
      </w:r>
    </w:p>
    <w:p>
      <w:pPr>
        <w:pStyle w:val="ManuscriptBody"/>
      </w:pPr>
      <w:r>
        <w:t xml:space="preserve">Justification: 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p>
      <w:pPr>
        <w:pStyle w:val="ManuscriptBody"/>
      </w:pPr>
      <w:r>
        <w:t xml:space="preserve">Unknowns: —</w:t>
      </w:r>
    </w:p>
    <w:p>
      <w:pPr>
        <w:pStyle w:val="ManuscriptBody"/>
      </w:pPr>
      <w:r>
        <w:t xml:space="preserve">Counterevidence: —</w:t>
      </w:r>
    </w:p>
    <w:p>
      <w:pPr>
        <w:pStyle w:val="ManuscriptBody"/>
      </w:pPr>
      <w:r>
        <w:t xml:space="preserve">Unassisted: Probably no</w:t>
      </w:r>
    </w:p>
    <w:p>
      <w:pPr/>
      <w:r>
        <w:br w:type="page"/>
      </w:r>
    </w:p>
    <w:p>
      <w:pPr>
        <w:pStyle w:val="Titre2"/>
      </w:pPr>
      <w:r>
        <w:t xml:space="preserve">5.3 Result selected from eligible analyses</w:t>
      </w:r>
    </w:p>
    <w:p>
      <w:pPr>
        <w:pStyle w:val="ManuscriptBody"/>
      </w:pPr>
      <w:r>
        <w:t xml:space="preserve">ARBITER: Probably no</w:t>
      </w:r>
    </w:p>
    <w:p>
      <w:pPr>
        <w:pStyle w:val="ManuscriptBody"/>
      </w:pPr>
      <w:r>
        <w:t xml:space="preserve">Evidence handles (type): eh_30fa222ec5523dcc (direct support); eh_f625637d366df2a0 (context)</w:t>
      </w:r>
    </w:p>
    <w:p>
      <w:pPr>
        <w:pStyle w:val="ManuscriptBody"/>
      </w:pPr>
      <w:r>
        <w:t xml:space="preserve">Justification: 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p>
      <w:pPr>
        <w:pStyle w:val="ManuscriptBody"/>
      </w:pPr>
      <w:r>
        <w:t xml:space="preserve">Unknowns: —</w:t>
      </w:r>
    </w:p>
    <w:p>
      <w:pPr>
        <w:pStyle w:val="ManuscriptBody"/>
      </w:pPr>
      <w:r>
        <w:t xml:space="preserve">Counterevidence: —</w:t>
      </w:r>
    </w:p>
    <w:p>
      <w:pPr>
        <w:pStyle w:val="ManuscriptBody"/>
      </w:pPr>
      <w:r>
        <w:t xml:space="preserve">Unassisted: Probably no</w:t>
      </w:r>
    </w:p>
    <w:p>
      <w:pPr>
        <w:pStyle w:val="Titre2"/>
      </w:pPr>
      <w:r>
        <w:t xml:space="preserve">Overall</w:t>
      </w:r>
    </w:p>
    <w:p>
      <w:pPr>
        <w:pStyle w:val="ManuscriptBody"/>
      </w:pPr>
      <w:r>
        <w:t xml:space="preserve">ARBITER: Proposed: Some concerns; adopted: Some concerns</w:t>
      </w:r>
    </w:p>
    <w:p>
      <w:pPr>
        <w:pStyle w:val="ManuscriptBody"/>
      </w:pPr>
      <w:r>
        <w:t xml:space="preserve">Justification: Any domain Some concerns, with no High domain: Overall Some concerns.</w:t>
      </w:r>
    </w:p>
    <w:p>
      <w:pPr>
        <w:pStyle w:val="ManuscriptBody"/>
      </w:pPr>
      <w:r>
        <w:t xml:space="preserve">Unassisted: Low</w:t>
      </w:r>
    </w:p>
    <w:p>
      <w:pPr>
        <w:pStyle w:val="Titre2"/>
      </w:pPr>
      <w:r>
        <w:t xml:space="preserve">Part B. Evidence records</w:t>
      </w:r>
    </w:p>
    <w:p>
      <w:pPr>
        <w:pStyle w:val="Titre2"/>
      </w:pPr>
      <w:r>
        <w:t xml:space="preserve">eh_05e667d2d41d3858</w:t>
      </w:r>
    </w:p>
    <w:p>
      <w:pPr>
        <w:pStyle w:val="ManuscriptBody"/>
      </w:pPr>
      <w:r>
        <w:t xml:space="preserve">Source: AVATAR long-term follow-up report</w:t>
      </w:r>
    </w:p>
    <w:p>
      <w:pPr>
        <w:pStyle w:val="ManuscriptBody"/>
      </w:pPr>
      <w:r>
        <w:t xml:space="preserve">Page: 9</w:t>
      </w:r>
    </w:p>
    <w:p>
      <w:pPr>
        <w:pStyle w:val="ManuscriptBody"/>
      </w:pPr>
      <w:r>
        <w:t xml:space="preserve">Lines: 76–83</w:t>
      </w:r>
    </w:p>
    <w:p>
      <w:pPr>
        <w:pStyle w:val="ManuscriptBody"/>
      </w:pPr>
      <w:r>
        <w:t xml:space="preserve">Source-version hash: a890f771fd05</w:t>
      </w:r>
    </w:p>
    <w:p>
      <w:pPr>
        <w:pStyle w:val="ManuscriptBody"/>
      </w:pPr>
      <w:r>
        <w:t xml:space="preserve">Full verbatim quote: 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p>
      <w:pPr>
        <w:pStyle w:val="Titre2"/>
      </w:pPr>
      <w:r>
        <w:t xml:space="preserve">eh_22d01d9384e1a677</w:t>
      </w:r>
    </w:p>
    <w:p>
      <w:pPr>
        <w:pStyle w:val="ManuscriptBody"/>
      </w:pPr>
      <w:r>
        <w:t xml:space="preserve">Source: Current registry-linked statistical analysis plan</w:t>
      </w:r>
    </w:p>
    <w:p>
      <w:pPr>
        <w:pStyle w:val="ManuscriptBody"/>
      </w:pPr>
      <w:r>
        <w:t xml:space="preserve">Page: 2</w:t>
      </w:r>
    </w:p>
    <w:p>
      <w:pPr>
        <w:pStyle w:val="ManuscriptBody"/>
      </w:pPr>
      <w:r>
        <w:t xml:space="preserve">Lines: 1–12</w:t>
      </w:r>
    </w:p>
    <w:p>
      <w:pPr>
        <w:pStyle w:val="ManuscriptBody"/>
      </w:pPr>
      <w:r>
        <w:t xml:space="preserve">Source-version hash: ba0a93294998</w:t>
      </w:r>
    </w:p>
    <w:p>
      <w:pPr>
        <w:pStyle w:val="ManuscriptBody"/>
      </w:pPr>
      <w:r>
        <w:t xml:space="preserve">Full verbatim quote: 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p>
      <w:pPr/>
      <w:r>
        <w:br w:type="page"/>
      </w:r>
    </w:p>
    <w:p>
      <w:pPr>
        <w:pStyle w:val="Titre2"/>
      </w:pPr>
      <w:r>
        <w:t xml:space="preserve">eh_30fa222ec5523dcc</w:t>
      </w:r>
    </w:p>
    <w:p>
      <w:pPr>
        <w:pStyle w:val="ManuscriptBody"/>
      </w:pPr>
      <w:r>
        <w:t xml:space="preserve">Source: AVATAR long-term follow-up report</w:t>
      </w:r>
    </w:p>
    <w:p>
      <w:pPr>
        <w:pStyle w:val="ManuscriptBody"/>
      </w:pPr>
      <w:r>
        <w:t xml:space="preserve">Page: 5</w:t>
      </w:r>
    </w:p>
    <w:p>
      <w:pPr>
        <w:pStyle w:val="ManuscriptBody"/>
      </w:pPr>
      <w:r>
        <w:t xml:space="preserve">Lines: 13–24</w:t>
      </w:r>
    </w:p>
    <w:p>
      <w:pPr>
        <w:pStyle w:val="ManuscriptBody"/>
      </w:pPr>
      <w:r>
        <w:t xml:space="preserve">Source-version hash: a890f771fd05</w:t>
      </w:r>
    </w:p>
    <w:p>
      <w:pPr>
        <w:pStyle w:val="ManuscriptBody"/>
      </w:pPr>
      <w:r>
        <w:t xml:space="preserve">Full verbatim quote: 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p>
      <w:pPr>
        <w:pStyle w:val="Titre2"/>
      </w:pPr>
      <w:r>
        <w:t xml:space="preserve">eh_3ce4199af9d487f3</w:t>
      </w:r>
    </w:p>
    <w:p>
      <w:pPr>
        <w:pStyle w:val="ManuscriptBody"/>
      </w:pPr>
      <w:r>
        <w:t xml:space="preserve">Source: AVATAR long-term follow-up report</w:t>
      </w:r>
    </w:p>
    <w:p>
      <w:pPr>
        <w:pStyle w:val="ManuscriptBody"/>
      </w:pPr>
      <w:r>
        <w:t xml:space="preserve">Page: 3</w:t>
      </w:r>
    </w:p>
    <w:p>
      <w:pPr>
        <w:pStyle w:val="ManuscriptBody"/>
      </w:pPr>
      <w:r>
        <w:t xml:space="preserve">Lines: 1–116</w:t>
      </w:r>
    </w:p>
    <w:p>
      <w:pPr>
        <w:pStyle w:val="ManuscriptBody"/>
      </w:pPr>
      <w:r>
        <w:t xml:space="preserve">Source-version hash: a890f771fd05</w:t>
      </w:r>
    </w:p>
    <w:p>
      <w:pPr>
        <w:pStyle w:val="ManuscriptBody"/>
      </w:pPr>
      <w:r>
        <w:t xml:space="preserve">Full verbatim quote: 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p>
      <w:pPr/>
      <w:r>
        <w:br w:type="page"/>
      </w:r>
    </w:p>
    <w:p>
      <w:pPr>
        <w:pStyle w:val="Titre2"/>
      </w:pPr>
      <w:r>
        <w:t xml:space="preserve">eh_4b5761bf573cc287</w:t>
      </w:r>
    </w:p>
    <w:p>
      <w:pPr>
        <w:pStyle w:val="ManuscriptBody"/>
      </w:pPr>
      <w:r>
        <w:t xml:space="preserve">Source: AVATAR original trial report</w:t>
      </w:r>
    </w:p>
    <w:p>
      <w:pPr>
        <w:pStyle w:val="ManuscriptBody"/>
      </w:pPr>
      <w:r>
        <w:t xml:space="preserve">Page: 4</w:t>
      </w:r>
    </w:p>
    <w:p>
      <w:pPr>
        <w:pStyle w:val="ManuscriptBody"/>
      </w:pPr>
      <w:r>
        <w:t xml:space="preserve">Lines: 8–15</w:t>
      </w:r>
    </w:p>
    <w:p>
      <w:pPr>
        <w:pStyle w:val="ManuscriptBody"/>
      </w:pPr>
      <w:r>
        <w:t xml:space="preserve">Source-version hash: 592b9a6c531c</w:t>
      </w:r>
    </w:p>
    <w:p>
      <w:pPr>
        <w:pStyle w:val="ManuscriptBody"/>
      </w:pPr>
      <w:r>
        <w:t xml:space="preserve">Full verbatim quote: 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p>
      <w:pPr>
        <w:pStyle w:val="Titre2"/>
      </w:pPr>
      <w:r>
        <w:t xml:space="preserve">eh_58abdac52262aa33</w:t>
      </w:r>
    </w:p>
    <w:p>
      <w:pPr>
        <w:pStyle w:val="ManuscriptBody"/>
      </w:pPr>
      <w:r>
        <w:t xml:space="preserve">Source: AVATAR long-term follow-up report</w:t>
      </w:r>
    </w:p>
    <w:p>
      <w:pPr>
        <w:pStyle w:val="ManuscriptBody"/>
      </w:pPr>
      <w:r>
        <w:t xml:space="preserve">Page: 5</w:t>
      </w:r>
    </w:p>
    <w:p>
      <w:pPr>
        <w:pStyle w:val="ManuscriptBody"/>
      </w:pPr>
      <w:r>
        <w:t xml:space="preserve">Lines: 47–50</w:t>
      </w:r>
    </w:p>
    <w:p>
      <w:pPr>
        <w:pStyle w:val="ManuscriptBody"/>
      </w:pPr>
      <w:r>
        <w:t xml:space="preserve">Source-version hash: a890f771fd05</w:t>
      </w:r>
    </w:p>
    <w:p>
      <w:pPr>
        <w:pStyle w:val="ManuscriptBody"/>
      </w:pPr>
      <w:r>
        <w:t xml:space="preserve">Full verbatim quote: Diabetes mellitus
14 (17.9%)
23 (29.1%)
.07</w:t>
      </w:r>
    </w:p>
    <w:p>
      <w:pPr/>
      <w:r>
        <w:br w:type="page"/>
      </w:r>
    </w:p>
    <w:p>
      <w:pPr>
        <w:pStyle w:val="Titre2"/>
      </w:pPr>
      <w:r>
        <w:t xml:space="preserve">eh_7961ea6680167af2</w:t>
      </w:r>
    </w:p>
    <w:p>
      <w:pPr>
        <w:pStyle w:val="ManuscriptBody"/>
      </w:pPr>
      <w:r>
        <w:t xml:space="preserve">Source: Current registry-linked statistical analysis plan</w:t>
      </w:r>
    </w:p>
    <w:p>
      <w:pPr>
        <w:pStyle w:val="ManuscriptBody"/>
      </w:pPr>
      <w:r>
        <w:t xml:space="preserve">Page: 1</w:t>
      </w:r>
    </w:p>
    <w:p>
      <w:pPr>
        <w:pStyle w:val="ManuscriptBody"/>
      </w:pPr>
      <w:r>
        <w:t xml:space="preserve">Lines: 1–8</w:t>
      </w:r>
    </w:p>
    <w:p>
      <w:pPr>
        <w:pStyle w:val="ManuscriptBody"/>
      </w:pPr>
      <w:r>
        <w:t xml:space="preserve">Source-version hash: ba0a93294998</w:t>
      </w:r>
    </w:p>
    <w:p>
      <w:pPr>
        <w:pStyle w:val="ManuscriptBody"/>
      </w:pPr>
      <w:r>
        <w:t xml:space="preserve">Full verbatim quote: Avatar trial protocol
-Amendment to surgical delays-
Aortic Valve Replacement Versus Conservative Treatment in
Asymptomatic Severe Aortic Stenosis (AVATAR trial)
NCT number : NCT02436655.
Date of amendment: 04.01.2021</w:t>
      </w:r>
    </w:p>
    <w:p>
      <w:pPr>
        <w:pStyle w:val="Titre2"/>
      </w:pPr>
      <w:r>
        <w:t xml:space="preserve">eh_7ad155913c1c5826</w:t>
      </w:r>
    </w:p>
    <w:p>
      <w:pPr>
        <w:pStyle w:val="ManuscriptBody"/>
      </w:pPr>
      <w:r>
        <w:t xml:space="preserve">Source: AVATAR original trial report</w:t>
      </w:r>
    </w:p>
    <w:p>
      <w:pPr>
        <w:pStyle w:val="ManuscriptBody"/>
      </w:pPr>
      <w:r>
        <w:t xml:space="preserve">Page: 4</w:t>
      </w:r>
    </w:p>
    <w:p>
      <w:pPr>
        <w:pStyle w:val="ManuscriptBody"/>
      </w:pPr>
      <w:r>
        <w:t xml:space="preserve">Lines: 16–35</w:t>
      </w:r>
    </w:p>
    <w:p>
      <w:pPr>
        <w:pStyle w:val="ManuscriptBody"/>
      </w:pPr>
      <w:r>
        <w:t xml:space="preserve">Source-version hash: 592b9a6c531c</w:t>
      </w:r>
    </w:p>
    <w:p>
      <w:pPr>
        <w:pStyle w:val="ManuscriptBody"/>
      </w:pPr>
      <w:r>
        <w:t xml:space="preserve">Full verbatim quote: 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p>
      <w:pPr/>
      <w:r>
        <w:br w:type="page"/>
      </w:r>
    </w:p>
    <w:p>
      <w:pPr>
        <w:pStyle w:val="Titre2"/>
      </w:pPr>
      <w:r>
        <w:t xml:space="preserve">eh_92eed84c7b98e37c</w:t>
      </w:r>
    </w:p>
    <w:p>
      <w:pPr>
        <w:pStyle w:val="ManuscriptBody"/>
      </w:pPr>
      <w:r>
        <w:t xml:space="preserve">Source: AVATAR long-term follow-up report</w:t>
      </w:r>
    </w:p>
    <w:p>
      <w:pPr>
        <w:pStyle w:val="ManuscriptBody"/>
      </w:pPr>
      <w:r>
        <w:t xml:space="preserve">Page: 5</w:t>
      </w:r>
    </w:p>
    <w:p>
      <w:pPr>
        <w:pStyle w:val="ManuscriptBody"/>
      </w:pPr>
      <w:r>
        <w:t xml:space="preserve">Lines: 26–136</w:t>
      </w:r>
    </w:p>
    <w:p>
      <w:pPr>
        <w:pStyle w:val="ManuscriptBody"/>
      </w:pPr>
      <w:r>
        <w:t xml:space="preserve">Source-version hash: a890f771fd05</w:t>
      </w:r>
    </w:p>
    <w:p>
      <w:pPr>
        <w:pStyle w:val="ManuscriptBody"/>
      </w:pPr>
      <w:r>
        <w:t xml:space="preserve">Full verbatim quote: 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p>
      <w:pPr>
        <w:pStyle w:val="Titre2"/>
      </w:pPr>
      <w:r>
        <w:t xml:space="preserve">eh_975aac3202107531</w:t>
      </w:r>
    </w:p>
    <w:p>
      <w:pPr>
        <w:pStyle w:val="ManuscriptBody"/>
      </w:pPr>
      <w:r>
        <w:t xml:space="preserve">Source: ClinicalTrials.gov NCT02436655</w:t>
      </w:r>
    </w:p>
    <w:p>
      <w:pPr>
        <w:pStyle w:val="ManuscriptBody"/>
      </w:pPr>
      <w:r>
        <w:t xml:space="preserve">Page: 1</w:t>
      </w:r>
    </w:p>
    <w:p>
      <w:pPr>
        <w:pStyle w:val="ManuscriptBody"/>
      </w:pPr>
      <w:r>
        <w:t xml:space="preserve">Lines: 67–68</w:t>
      </w:r>
    </w:p>
    <w:p>
      <w:pPr>
        <w:pStyle w:val="ManuscriptBody"/>
      </w:pPr>
      <w:r>
        <w:t xml:space="preserve">Source-version hash: d32e23eb2a1e</w:t>
      </w:r>
    </w:p>
    <w:p>
      <w:pPr>
        <w:pStyle w:val="ManuscriptBody"/>
      </w:pPr>
      <w:r>
        <w:t xml:space="preserve">Full verbatim quote: #### Masking info
- Masking: NONE</w:t>
      </w:r>
    </w:p>
    <w:p>
      <w:pPr/>
      <w:r>
        <w:br w:type="page"/>
      </w:r>
    </w:p>
    <w:p>
      <w:pPr>
        <w:pStyle w:val="Titre2"/>
      </w:pPr>
      <w:r>
        <w:t xml:space="preserve">eh_af1340e6c28a70eb</w:t>
      </w:r>
    </w:p>
    <w:p>
      <w:pPr>
        <w:pStyle w:val="ManuscriptBody"/>
      </w:pPr>
      <w:r>
        <w:t xml:space="preserve">Source: AVATAR long-term follow-up report</w:t>
      </w:r>
    </w:p>
    <w:p>
      <w:pPr>
        <w:pStyle w:val="ManuscriptBody"/>
      </w:pPr>
      <w:r>
        <w:t xml:space="preserve">Page: 7</w:t>
      </w:r>
    </w:p>
    <w:p>
      <w:pPr>
        <w:pStyle w:val="ManuscriptBody"/>
      </w:pPr>
      <w:r>
        <w:t xml:space="preserve">Lines: 1–148</w:t>
      </w:r>
    </w:p>
    <w:p>
      <w:pPr>
        <w:pStyle w:val="ManuscriptBody"/>
      </w:pPr>
      <w:r>
        <w:t xml:space="preserve">Source-version hash: a890f771fd05</w:t>
      </w:r>
    </w:p>
    <w:p>
      <w:pPr>
        <w:pStyle w:val="ManuscriptBody"/>
      </w:pPr>
      <w:r>
        <w:t xml:space="preserve">Full verbatim quote: 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p>
      <w:pPr>
        <w:pStyle w:val="Titre2"/>
      </w:pPr>
      <w:r>
        <w:t xml:space="preserve">eh_c8e0958840636206</w:t>
      </w:r>
    </w:p>
    <w:p>
      <w:pPr>
        <w:pStyle w:val="ManuscriptBody"/>
      </w:pPr>
      <w:r>
        <w:t xml:space="preserve">Source: AVATAR long-term follow-up report</w:t>
      </w:r>
    </w:p>
    <w:p>
      <w:pPr>
        <w:pStyle w:val="ManuscriptBody"/>
      </w:pPr>
      <w:r>
        <w:t xml:space="preserve">Page: 6</w:t>
      </w:r>
    </w:p>
    <w:p>
      <w:pPr>
        <w:pStyle w:val="ManuscriptBody"/>
      </w:pPr>
      <w:r>
        <w:t xml:space="preserve">Lines: 1–99</w:t>
      </w:r>
    </w:p>
    <w:p>
      <w:pPr>
        <w:pStyle w:val="ManuscriptBody"/>
      </w:pPr>
      <w:r>
        <w:t xml:space="preserve">Source-version hash: a890f771fd05</w:t>
      </w:r>
    </w:p>
    <w:p>
      <w:pPr>
        <w:pStyle w:val="ManuscriptBody"/>
      </w:pPr>
      <w:r>
        <w:t xml:space="preserve">Full verbatim quote: 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p>
      <w:pPr/>
      <w:r>
        <w:br w:type="page"/>
      </w:r>
    </w:p>
    <w:p>
      <w:pPr>
        <w:pStyle w:val="Titre2"/>
      </w:pPr>
      <w:r>
        <w:t xml:space="preserve">eh_d54a2600ddc753b3</w:t>
      </w:r>
    </w:p>
    <w:p>
      <w:pPr>
        <w:pStyle w:val="ManuscriptBody"/>
      </w:pPr>
      <w:r>
        <w:t xml:space="preserve">Source: ClinicalTrials.gov NCT02436655</w:t>
      </w:r>
    </w:p>
    <w:p>
      <w:pPr>
        <w:pStyle w:val="ManuscriptBody"/>
      </w:pPr>
      <w:r>
        <w:t xml:space="preserve">Page: 1</w:t>
      </w:r>
    </w:p>
    <w:p>
      <w:pPr>
        <w:pStyle w:val="ManuscriptBody"/>
      </w:pPr>
      <w:r>
        <w:t xml:space="preserve">Lines: 95–101</w:t>
      </w:r>
    </w:p>
    <w:p>
      <w:pPr>
        <w:pStyle w:val="ManuscriptBody"/>
      </w:pPr>
      <w:r>
        <w:t xml:space="preserve">Source-version hash: d32e23eb2a1e</w:t>
      </w:r>
    </w:p>
    <w:p>
      <w:pPr>
        <w:pStyle w:val="ManuscriptBody"/>
      </w:pPr>
      <w:r>
        <w:t xml:space="preserve">Full verbatim quote: ###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p>
      <w:pPr>
        <w:pStyle w:val="Titre2"/>
      </w:pPr>
      <w:r>
        <w:t xml:space="preserve">eh_d6c269341c7d8a5d</w:t>
      </w:r>
    </w:p>
    <w:p>
      <w:pPr>
        <w:pStyle w:val="ManuscriptBody"/>
      </w:pPr>
      <w:r>
        <w:t xml:space="preserve">Source: AVATAR original trial report</w:t>
      </w:r>
    </w:p>
    <w:p>
      <w:pPr>
        <w:pStyle w:val="ManuscriptBody"/>
      </w:pPr>
      <w:r>
        <w:t xml:space="preserve">Page: 3</w:t>
      </w:r>
    </w:p>
    <w:p>
      <w:pPr>
        <w:pStyle w:val="ManuscriptBody"/>
      </w:pPr>
      <w:r>
        <w:t xml:space="preserve">Lines: 46–50</w:t>
      </w:r>
    </w:p>
    <w:p>
      <w:pPr>
        <w:pStyle w:val="ManuscriptBody"/>
      </w:pPr>
      <w:r>
        <w:t xml:space="preserve">Source-version hash: 592b9a6c531c</w:t>
      </w:r>
    </w:p>
    <w:p>
      <w:pPr>
        <w:pStyle w:val="ManuscriptBody"/>
      </w:pPr>
      <w:r>
        <w:t xml:space="preserve">Full verbatim quote: 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p>
      <w:pPr/>
      <w:r>
        <w:br w:type="page"/>
      </w:r>
    </w:p>
    <w:p>
      <w:pPr>
        <w:pStyle w:val="Titre2"/>
      </w:pPr>
      <w:r>
        <w:t xml:space="preserve">eh_e66d374e838e8c6d</w:t>
      </w:r>
    </w:p>
    <w:p>
      <w:pPr>
        <w:pStyle w:val="ManuscriptBody"/>
      </w:pPr>
      <w:r>
        <w:t xml:space="preserve">Source: AVATAR long-term follow-up report</w:t>
      </w:r>
    </w:p>
    <w:p>
      <w:pPr>
        <w:pStyle w:val="ManuscriptBody"/>
      </w:pPr>
      <w:r>
        <w:t xml:space="preserve">Page: 6</w:t>
      </w:r>
    </w:p>
    <w:p>
      <w:pPr>
        <w:pStyle w:val="ManuscriptBody"/>
      </w:pPr>
      <w:r>
        <w:t xml:space="preserve">Lines: 26–32</w:t>
      </w:r>
    </w:p>
    <w:p>
      <w:pPr>
        <w:pStyle w:val="ManuscriptBody"/>
      </w:pPr>
      <w:r>
        <w:t xml:space="preserve">Source-version hash: a890f771fd05</w:t>
      </w:r>
    </w:p>
    <w:p>
      <w:pPr>
        <w:pStyle w:val="ManuscriptBody"/>
      </w:pPr>
      <w:r>
        <w:t xml:space="preserve">Full verbatim quote: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p>
      <w:pPr>
        <w:pStyle w:val="Titre2"/>
      </w:pPr>
      <w:r>
        <w:t xml:space="preserve">eh_f625637d366df2a0</w:t>
      </w:r>
    </w:p>
    <w:p>
      <w:pPr>
        <w:pStyle w:val="ManuscriptBody"/>
      </w:pPr>
      <w:r>
        <w:t xml:space="preserve">Source: AVATAR original trial report</w:t>
      </w:r>
    </w:p>
    <w:p>
      <w:pPr>
        <w:pStyle w:val="ManuscriptBody"/>
      </w:pPr>
      <w:r>
        <w:t xml:space="preserve">Page: 4</w:t>
      </w:r>
    </w:p>
    <w:p>
      <w:pPr>
        <w:pStyle w:val="ManuscriptBody"/>
      </w:pPr>
      <w:r>
        <w:t xml:space="preserve">Lines: 62–69</w:t>
      </w:r>
    </w:p>
    <w:p>
      <w:pPr>
        <w:pStyle w:val="ManuscriptBody"/>
      </w:pPr>
      <w:r>
        <w:t xml:space="preserve">Source-version hash: 592b9a6c531c</w:t>
      </w:r>
    </w:p>
    <w:p>
      <w:pPr>
        <w:pStyle w:val="ManuscriptBody"/>
      </w:pPr>
      <w:r>
        <w:t xml:space="preserve">Full verbatim quote: 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p>
      <w:pPr/>
      <w:r>
        <w:br w:type="page"/>
      </w:r>
    </w:p>
    <w:p>
      <w:pPr>
        <w:pStyle w:val="Titre2"/>
      </w:pPr>
      <w:r>
        <w:t xml:space="preserve">Prompt templates and run provenance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pPr>
      <w:r>
        <w:t xml:space="preserve">Model claude-sonnet-5-5, medium effort; Claude Code 2.1.278; ARBITER 1.0.0 public commit 2f549ae30f056ff441ea61a04b719968716f2219. Each trial ran once per arm. Runs used a subscription; costs are frozen-rate API list-price equivalents. The reproducibility records include the R and package versions.</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3497378226e3de4db2f740700c00f168788abcb7.png"/>
<Relationship Id="rId8" Type="http://schemas.openxmlformats.org/officeDocument/2006/relationships/image" Target="media/587fbf5e690faf4216dbcb395e85eee39cf2aff6.png"/>
<Relationship Id="rId9" Type="http://schemas.openxmlformats.org/officeDocument/2006/relationships/image" Target="media/c78ae5a9c57e25b338daa4773c98fbd3b9af2137.png"/>
<Relationship Id="rId10" Type="http://schemas.openxmlformats.org/officeDocument/2006/relationships/image" Target="media/946dd7ea3e6212553dfda5baba469a2d8aa32fad.png"/>
<Relationship Id="rId11" Type="http://schemas.openxmlformats.org/officeDocument/2006/relationships/image" Target="media/4897c3899631f1d0e855e0ef5089e9f74a0b15c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2026-10-21T15:39:28Z</dcterms:modified>
  <cp:category/>
</cp:coreProperties>
</file>