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TRIPOD LLM and GRRAS reporting map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14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(ANALYSIS-PLAN section 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Abstract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abstract; results-sentences.md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 (author assembly; ANALYSIS-PLAN section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Intended users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Introduction; eMethods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sources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eTable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distribution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 Benchmark trials; label-target CSVs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Text dates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Preprocessing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Independent reference and Overall; Table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identity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eMethods Dates and training exposure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Development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fixed provider model; no model development or fine-tuning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Inference settings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14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Outputs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prompt templates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Classification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Generative metrics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3; eMethods Evidence binding and verification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assessment;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Outcome 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Assessors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Comparators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Input parity and label targets; prompt templates; Table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guidance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validation;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Annotation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eTable 4 Full independent agreement and paired contrasts; eTable 2 Expert reliability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Annotator experience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Prompt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Summarization preprocessing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summarisation task; source parsing described in eMethods Evidence binding and verification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14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Alignment evaluation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instruction tuning or alignment training was performed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Compute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 Prompt templates and run provenance; eMethods API list-price reconstruction; time/cost 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Ethics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Ethics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Funding declaration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Conflicts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Competing interests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Protocol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ANALYSIS-PLAN.md; analysis/DEVIATIONS.md; eMethods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Registration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Protocol/registration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Data availability; results.html How to reproduce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Code access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results.html How to reproduce; Supplement Prompt templates and run provenance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Public involvement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Public involvement statement (author confirmation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Clinical distributions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N/A for individual-patient distributions: report-level benchmark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14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16d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Analysis counts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Tables 1–3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Performance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Figures 4–6; Tables 1–3; eTable 4 full contrasts; eTable 11 signalling questions and disagreement types; eFigure 2 collapsed question differences; eFigure 5 five-level and collapsed differences; eFigure 4 domain agreement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 updating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N/A: no model updating or adaptation was performed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assembly); results-sentences.md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Data challenges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Published-label target matching;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Implementation scope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Design status and limitations; Manuscript Discussion deployment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 inputs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2; eMethods Algorithms and validation; Design status and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User expertise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human oversight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TRIPOD-LLM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Future research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future work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Title/abstract identification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title and abstract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Measurement instrument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Algorithms and validation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 population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Figure 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</w:tbl>
    <w:p>
      <w:pPr/>
      <w:r>
        <w:br w:type="page"/>
      </w:r>
    </w:p>
    <w:p>
      <w:pPr>
        <w:pStyle w:val="Titre2"/>
      </w:pPr>
      <w:r>
        <w:t xml:space="preserve">Reporting map continued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576"/>
        <w:gridCol w:w="1512"/>
        <w:gridCol w:w="3960"/>
        <w:gridCol w:w="2808"/>
      </w:tblGrid>
      <w:tr>
        <w:trPr>
          <w:cantSplit/>
          <w:trHeight w:val="14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Item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Applicability and Notes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Rater population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 size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Benchmark README-FOR-ALI.md sampling; Figure 3 (fixed available sample)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benchmark README-FOR-ALI.md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 process and blinding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 1; eMethods Blinded expert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eMethods Independent reference and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Actual sample counts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Figure 3; Table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Sample/rater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eTable 1; Manuscript Methods rater credentials (author completion required)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information required; the planned location is identified, but the statement is not supplied by these data.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Estimates and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Tables 1–3; Figures 4–5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Practical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Discussion (author assembly)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Manuscript prose location; verify during author assembly.</w:t>
            </w:r>
          </w:p>
        </w:tc>
      </w:tr>
      <w:tr>
        <w:trPr>
          <w:cantSplit/>
          <w:trHeight w:val="1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GRRAS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Detailed results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Supplementary analyses; results.html; repository CSVs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Reported at the named display or supplement location.</w:t>
            </w:r>
          </w:p>
        </w:tc>
      </w:tr>
      <w:tr>
        <w:trPr>
          <w:cantSplit/>
          <w:trHeight w:val="14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Author credentials, declarations and final pagination require author completion.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2026-10-21T15:39:32Z</dcterms:modified>
  <cp:category/>
</cp:coreProperties>
</file>