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 Rule conformance, evidence checks, time and cost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66"/>
        <w:gridCol w:w="2466"/>
        <w:gridCol w:w="2466"/>
        <w:gridCol w:w="246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mean difference (95% CI)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Domain ratings (D1–D5)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contradicts its own answers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26/509 (5.1%; 3.3–6.9)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Required question skipped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39/509 (7.7%; 5.7–10.0)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rule break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65/509 (12.8%; 10.0–15.6)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5/101 (5.0%; 1.0–8.9)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D2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7/102 (6.9%; 2.9–10.8)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D3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5/102 (4.9%; 1.0–8.8)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D4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35/102 (34.3%; 26.5–42.2)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D5 rule breaks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by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13/102 (12.7%; 6.9–18.6)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rating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rating follows the RoB 2 rules (incl. permitted escalation)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Evidence and audit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Answers citing ≥1 supporting passage or image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1538/1538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Quoted text linked to its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1407/1407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Image regions linked to their 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14/14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Audit file passes the independent verifier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102/102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System runtime (min/trial)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[6.1–10.5]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[0.4–0.5]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(8.4–14.1)</w:t>
            </w:r>
          </w:p>
        </w:tc>
      </w:tr>
      <w:tr>
        <w:trPr>
          <w:cantSplit/>
          <w:trHeight w:val="70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API list-price equivalent (US$/trial)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[3.46–4.10]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[0.07–0.13]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(3.61–3.75)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Domain rules use evaluable ratings (ARBITER 510; Unassisted 509); Overall uses 102 trials. Evidence denominators count active answers or distinct evidence records as indicated; verifier denominator is 102 bundles. ARBITER has no recorded domain overrides; one Overall escalation is permitted. Evidence checks establish quotation occurrence and structural binding, without assessing answer support. Runtime and API list-price equivalents use 102 paired trials; source summaries are median [IQR], contrasts are paired mean differences. Cost is a frozen-rate equivalent, not expenditure.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2026-10-21T15:09:17Z</dcterms:modified>
  <cp:category/>
</cp:coreProperties>
</file>