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 ARBITER combines rule enforcement and an independent expert reference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8"/>
        <w:gridCol w:w="1648"/>
        <w:gridCol w:w="1648"/>
        <w:gridCol w:w="1648"/>
        <w:gridCol w:w="1648"/>
        <w:gridCol w:w="1648"/>
        <w:gridCol w:w="1648"/>
        <w:gridCol w:w="1648"/>
        <w:gridCol w:w="164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Rules in code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Rules enforced during assessment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breaks measured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Quotations verified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Audit file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Agent with tools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Independent reference or adjudication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Registry or protocol given to the model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Marshall 2016] (RoB 1) [k]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Eisele-Metzger 2025] [a]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Huang 2025] [b]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Lai 2026] [c]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Nyrhi 2026] [d]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Gandhi 2026] [e]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Choi 2026] [f]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Hevia 2025] [g]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Liang 2026] [h]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Saadi 2026] (ROBINS-I) [i]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This study (ARBITER) [j]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Blinded dual expert rating of all domains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Yes, documented; No, affirmative absence; NR, Not reported (presence or absence unclear). Partly means: code, spreadsheet or incomplete rules; enforcement, some configurations or incomplete answer checks; breaks, overall-only or qualitative checks; quotations, semantic judging without occurrence/integrity checks; audit, retained responses without a verifiable source bundle; agent, enabled browsing or retrieval without demonstrated agent tool calls; reference, limited re-review, historical independent teams or text-relevance review; registry/protocol, compressed or restricted delivery. Structured prompting alone is not enforced rules. Registry/protocol includes SAPs and available records; a registration number alone does not qualify. This study gave both compared arms identical inputs; other matched model/workflow comparisons also used identical underlying sources (see eTable 22). a, Compressed ancillary records; overall-only checks. b, Post hoc Excel derivation; six development trials. c, Prompt rules. d, RoB 2 cohort; protocols when available. e, Masked panel; actual browsing unmeasured. f, One trial, 38 runs. g, Retrieval and retained edits. h, Post hoc support judging. i, ROBINS-I; selected concordant references. j, Recorded overrides permitted; none in 510 domains; blinded dual expert rating of all domains. k, RobotReviewer used RoB 1; its blinded panel judged text relevance. Reference callouts resolve in the manuscript bibliography. Condensed cell evidence and quotation locations: eTable 22.</w:t>
            </w:r>
          </w:p>
        </w:tc>
      </w:tr>
    </w:tbl>
    <w:sectPr>
      <w:pgMar w:header="708" w:bottom="864" w:top="864" w:right="936" w:left="936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2026-10-21T15:09:18Z</dcterms:modified>
  <cp:category/>
</cp:coreProperties>
</file>