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quarto-document-content"/>
    <w:bookmarkStart w:id="10" w:name="title-block-header"/>
    <w:bookmarkStart w:id="9" w:name="arbiter-main-manuscript-analysis"/>
    <w:p>
      <w:pPr>
        <w:pStyle w:val="Title"/>
      </w:pPr>
      <w:r>
        <w:t xml:space="preserve">ARBITER main manuscript analysis</w:t>
      </w:r>
    </w:p>
    <w:bookmarkEnd w:id="9"/>
    <w:bookmarkEnd w:id="10"/>
    <w:p>
      <w:pPr>
        <w:pStyle w:val="FirstParagraph"/>
      </w:pPr>
      <w:r>
        <w:t xml:space="preserve">ARBITER separates model interpretation from executable rules for the Cochrane risk-of-bias tool for randomised trials (RoB 2) and retains sources, answers and evidence for inspection. We compared its complete workflow with minimal prompting using the same reported model identifier and identical supplied files for 102 trials from 16 reviews. Two human reviewers independently rated all 510 domain cells before viewing labels. Their assessments are labeled Human Review 1 and Human Review 2. A separate conditional label-choice analysis used 60 agreed choices among 80 arm disagreements; 20 choices split.</w:t>
      </w:r>
    </w:p>
    <w:bookmarkStart w:id="11" w:name="results"/>
    <w:p>
      <w:pPr>
        <w:pStyle w:val="Heading1"/>
      </w:pPr>
      <w:r>
        <w:t xml:space="preserve">Results</w:t>
      </w:r>
    </w:p>
    <w:p>
      <w:pPr>
        <w:pStyle w:val="FirstParagraph"/>
      </w:pPr>
      <w:r>
        <w:t xml:space="preserve">The benchmark included 102 trials from 16 reviews and 510 domain cells after exclusion of three unsupported designs (Figure 3; Table 2). Both human reviewers independently assessed every cell.</w:t>
      </w:r>
    </w:p>
    <w:p>
      <w:pPr>
        <w:pStyle w:val="BodyText"/>
      </w:pPr>
      <w:r>
        <w:t xml:space="preserve">Against Published across all 510 cells, exact agreement is 386/510 (75.7%) for ARBITER versus 395/510 (77.5%) for Direct prompting, a paired difference of −1.8 points (95% CI, −5.1 to 1.6).</w:t>
      </w:r>
    </w:p>
    <w:p>
      <w:pPr>
        <w:pStyle w:val="BodyText"/>
      </w:pPr>
      <w:r>
        <w:t xml:space="preserve">Human Review 1: ARBITER 371/510 (72.7%) versus Direct prompting 332/510 (65.1%); paired gain 7.6 (5.1–10.2) percentage points. Human Review 2: ARBITER 433/510 (84.9%) versus Direct prompting 400/510 (78.4%); paired gain 6.5 (3.5–9.4) percentage points. Figure 4 shows absolute levels and paired gains, with the largest observed gains in D5. D3 remains strongly reference-dependent: ARBITER matches 43/102 ratings from Human Review 1 and 80/102 from Human Review 2. The human reviewers agree on 54/102 D3 cells.</w:t>
      </w:r>
    </w:p>
    <w:p>
      <w:pPr>
        <w:pStyle w:val="BodyText"/>
      </w:pPr>
      <w:r>
        <w:t xml:space="preserve">Conditional blinded-label choices favored ARBITER in 53/60 agreed choices (88%; 95% CI, 80–96%). These 60 agreed choices arose from 80 arm-cells where the two arms disagreed, with 20 split choices. Review-specific and split-loss sensitivities are in Table 4.</w:t>
      </w:r>
    </w:p>
    <w:p>
      <w:pPr>
        <w:pStyle w:val="BodyText"/>
        <w:keepLines/>
      </w:pPr>
      <w:r>
        <w:t xml:space="preserve">Figure 5 distinguishes five-level from collapsed signalling-answer agreement on paired eligible components. In D3 against Human Review 1, the five-level difference is −10.3 points (95% CI, −17.2 to −3.2), whereas the collapsed difference is +8.5 (3.5–13.7), both on 165 components. D5 collapsed gains are +11.3 points for Human Review 1 and +3.7 (−0.3 to 7.4) for Human Review 2. eTable 4 retains source-specific domain summaries, eligibility accounting and complete paired question contrasts for both codings, including sparse and unfavorable results.</w:t>
      </w:r>
    </w:p>
    <w:p>
      <w:pPr>
        <w:pStyle w:val="BodyText"/>
      </w:pPr>
      <w:r>
        <w:t xml:space="preserve">Table 3 reports process conformance and computational resources. All 510 ARBITER domain outputs reproduce from the rule engine; Direct prompting has 65/509 evaluable rule breaks (26 contradictory ratings and 39 required-question omissions). In separate structural checks, all 1538 active required answers cite evidence; 1407/1407 text spans and 14 image records are source-bound, and 102 bundles pass structural verification. These checks do not establish semantic support.</w:t>
      </w:r>
    </w:p>
    <w:p>
      <w:pPr>
        <w:pStyle w:val="BodyText"/>
      </w:pPr>
      <w:r>
        <w:t xml:space="preserve">Median (IQR) runtime is 7.6 (6.1–10.5) versus 0.5 (0.4–0.5) minutes per trial, with a paired mean difference of 11.0 (95% CI, 8.4–14.1) minutes. API list-price equivalents are US$3.78 (3.46–4.10) versus US$0.09 (0.07–0.13), with a paired mean difference of US$3.68 (3.61–3.75). Human time and expenditure were not measured.</w:t>
      </w:r>
    </w:p>
    <w:bookmarkEnd w:id="11"/>
    <w:bookmarkStart w:id="34" w:name="figures"/>
    <w:p>
      <w:pPr>
        <w:pStyle w:val="Heading1"/>
        <w:pageBreakBefore/>
      </w:pPr>
      <w:r>
        <w:t xml:space="preserve">Figures</w:t>
      </w:r>
    </w:p>
    <w:bookmarkStart w:id="15" w:name="figure-1"/>
    <w:p>
      <w:pPr>
        <w:pStyle w:val="Heading2"/>
      </w:pPr>
      <w:r>
        <w:t xml:space="preserve">Figure 1</w:t>
      </w:r>
    </w:p>
    <w:p>
      <w:pPr>
        <w:pStyle w:val="CaptionedFigure"/>
        <w:keepNext/>
        <w:jc w:val="center"/>
      </w:pPr>
      <w:r>
        <w:drawing>
          <wp:inline>
            <wp:extent cx="6263640" cy="4751069"/>
            <wp:effectExtent b="0" l="0" r="0" t="0"/>
            <wp:docPr descr="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 title="" id="13" name="Picture"/>
            <a:graphic>
              <a:graphicData uri="http://schemas.openxmlformats.org/drawingml/2006/picture">
                <pic:pic>
                  <pic:nvPicPr>
                    <pic:cNvPr descr="C:\Users\ALI-SA~1\AppData\Local\Temp\arbiter-analysis-word-h2yl2cwo\Figure1.png" id="14" name="Picture"/>
                    <pic:cNvPicPr>
                      <a:picLocks noChangeArrowheads="1" noChangeAspect="1"/>
                    </pic:cNvPicPr>
                  </pic:nvPicPr>
                  <pic:blipFill>
                    <a:blip r:embed="rId12"/>
                    <a:stretch>
                      <a:fillRect/>
                    </a:stretch>
                  </pic:blipFill>
                  <pic:spPr bwMode="auto">
                    <a:xfrm>
                      <a:off x="0" y="0"/>
                      <a:ext cx="6263640" cy="4751069"/>
                    </a:xfrm>
                    <a:prstGeom prst="rect">
                      <a:avLst/>
                    </a:prstGeom>
                    <a:noFill/>
                    <a:ln w="9525">
                      <a:noFill/>
                      <a:headEnd/>
                      <a:tailEnd/>
                    </a:ln>
                  </pic:spPr>
                </pic:pic>
              </a:graphicData>
            </a:graphic>
          </wp:inline>
        </w:drawing>
      </w:r>
    </w:p>
    <w:p>
      <w:pPr>
        <w:pStyle w:val="ImageCaption"/>
        <w:keepLines/>
      </w:pPr>
      <w:r>
        <w:t xml:space="preserve">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bookmarkEnd w:id="15"/>
    <w:bookmarkStart w:id="21" w:name="figure-2"/>
    <w:p>
      <w:pPr>
        <w:pStyle w:val="Heading2"/>
        <w:pageBreakBefore/>
      </w:pPr>
      <w:r>
        <w:t xml:space="preserve">Figure 2</w:t>
      </w:r>
    </w:p>
    <w:p>
      <w:pPr>
        <w:pStyle w:val="CaptionedFigure"/>
        <w:keepNext/>
        <w:jc w:val="center"/>
      </w:pPr>
      <w:r>
        <w:drawing>
          <wp:inline>
            <wp:extent cx="4695524" cy="6080760"/>
            <wp:effectExtent b="0" l="0" r="0" t="0"/>
            <wp:docPr descr="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 title="" id="17" name="Picture"/>
            <a:graphic>
              <a:graphicData uri="http://schemas.openxmlformats.org/drawingml/2006/picture">
                <pic:pic>
                  <pic:nvPicPr>
                    <pic:cNvPr descr="C:\Users\ALI-SA~1\AppData\Local\Temp\arbiter-analysis-word-h2yl2cwo\Figure2.png" id="18" name="Picture"/>
                    <pic:cNvPicPr>
                      <a:picLocks noChangeArrowheads="1" noChangeAspect="1"/>
                    </pic:cNvPicPr>
                  </pic:nvPicPr>
                  <pic:blipFill>
                    <a:blip r:embed="rId16"/>
                    <a:stretch>
                      <a:fillRect/>
                    </a:stretch>
                  </pic:blipFill>
                  <pic:spPr bwMode="auto">
                    <a:xfrm>
                      <a:off x="0" y="0"/>
                      <a:ext cx="4695524" cy="6080760"/>
                    </a:xfrm>
                    <a:prstGeom prst="rect">
                      <a:avLst/>
                    </a:prstGeom>
                    <a:noFill/>
                    <a:ln w="9525">
                      <a:noFill/>
                      <a:headEnd/>
                      <a:tailEnd/>
                    </a:ln>
                  </pic:spPr>
                </pic:pic>
              </a:graphicData>
            </a:graphic>
          </wp:inline>
        </w:drawing>
      </w:r>
    </w:p>
    <w:p>
      <w:pPr>
        <w:pStyle w:val="ImageCaption"/>
        <w:keepLines/>
      </w:pPr>
      <w:r>
        <w:t xml:space="preserve">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linked repository AVATAR answer and evidence records. Y, yes; PY, probably yes; PN, probably no; N, no; NI, no information. The footer compares the Published D5 label with the subsequent blinded D5 choices from both human reviews; it does not report independently rated Overall judgments.</w:t>
      </w:r>
    </w:p>
    <w:p>
      <w:pPr>
        <w:pStyle w:val="BodyText"/>
      </w:pPr>
      <w:hyperlink r:id="rId19">
        <w:r>
          <w:rPr>
            <w:rStyle w:val="Hyperlink"/>
          </w:rPr>
          <w:t xml:space="preserve">Complete AVATAR answers</w:t>
        </w:r>
      </w:hyperlink>
      <w:r>
        <w:t xml:space="preserve"> </w:t>
      </w:r>
      <w:r>
        <w:t xml:space="preserve">·</w:t>
      </w:r>
      <w:r>
        <w:t xml:space="preserve"> </w:t>
      </w:r>
      <w:hyperlink r:id="rId20">
        <w:r>
          <w:rPr>
            <w:rStyle w:val="Hyperlink"/>
          </w:rPr>
          <w:t xml:space="preserve">Complete AVATAR evidence and quotations</w:t>
        </w:r>
      </w:hyperlink>
    </w:p>
    <w:bookmarkEnd w:id="21"/>
    <w:bookmarkStart w:id="25" w:name="figure-3"/>
    <w:p>
      <w:pPr>
        <w:pStyle w:val="Heading2"/>
        <w:pageBreakBefore/>
      </w:pPr>
      <w:r>
        <w:t xml:space="preserve">Figure 3</w:t>
      </w:r>
    </w:p>
    <w:p>
      <w:pPr>
        <w:pStyle w:val="CaptionedFigure"/>
        <w:keepNext/>
        <w:jc w:val="center"/>
      </w:pPr>
      <w:r>
        <w:drawing>
          <wp:inline>
            <wp:extent cx="6047653" cy="6080760"/>
            <wp:effectExtent b="0" l="0" r="0" t="0"/>
            <wp:docPr descr="Three parallel assessment lanes for ARBITER, Direct prompting and two independent human reviews across 102 trials and 510 domain cells. A separate conditional branch contains 80 arm-discordant cells, 60 agreed choices and 20 splits." title="" id="23" name="Picture"/>
            <a:graphic>
              <a:graphicData uri="http://schemas.openxmlformats.org/drawingml/2006/picture">
                <pic:pic>
                  <pic:nvPicPr>
                    <pic:cNvPr descr="C:\Users\ALI-SA~1\AppData\Local\Temp\arbiter-analysis-word-h2yl2cwo\Figure3.png" id="24" name="Picture"/>
                    <pic:cNvPicPr>
                      <a:picLocks noChangeArrowheads="1" noChangeAspect="1"/>
                    </pic:cNvPicPr>
                  </pic:nvPicPr>
                  <pic:blipFill>
                    <a:blip r:embed="rId22"/>
                    <a:stretch>
                      <a:fillRect/>
                    </a:stretch>
                  </pic:blipFill>
                  <pic:spPr bwMode="auto">
                    <a:xfrm>
                      <a:off x="0" y="0"/>
                      <a:ext cx="6047653" cy="6080760"/>
                    </a:xfrm>
                    <a:prstGeom prst="rect">
                      <a:avLst/>
                    </a:prstGeom>
                    <a:noFill/>
                    <a:ln w="9525">
                      <a:noFill/>
                      <a:headEnd/>
                      <a:tailEnd/>
                    </a:ln>
                  </pic:spPr>
                </pic:pic>
              </a:graphicData>
            </a:graphic>
          </wp:inline>
        </w:drawing>
      </w:r>
    </w:p>
    <w:p>
      <w:pPr>
        <w:pStyle w:val="ImageCaption"/>
        <w:keepLines/>
      </w:pPr>
      <w:r>
        <w:t xml:space="preserve">Figure 3. Parallel assessment lanes and conditional blinded-label choices. ARBITER, Direct prompting and Human Reviewers assess the same benchmark. Both AI arms assessed the same 102 trials using the same reported model identifier and supplied documents. Two human reviewers independently recorded ratings and signalling answers for all 510 trial-domain cells before viewing labels. In a separate stage, each chose among three labels presented in random order without rationales. The conditional choice estimate uses 60 agreed choices from 80 arm-cells where the two arms disagreed; 20 split choices enter sensitivities. The all-cell human reviewer comparisons are not restricted to that conditional population. Counts are trials or cells as indicated; no interval applies.</w:t>
      </w:r>
    </w:p>
    <w:bookmarkEnd w:id="25"/>
    <w:bookmarkStart w:id="29" w:name="figure-4"/>
    <w:p>
      <w:pPr>
        <w:pStyle w:val="Heading2"/>
        <w:pageBreakBefore/>
      </w:pPr>
      <w:r>
        <w:t xml:space="preserve">Figure 4</w:t>
      </w:r>
    </w:p>
    <w:p>
      <w:pPr>
        <w:pStyle w:val="CaptionedFigure"/>
        <w:keepNext/>
        <w:jc w:val="center"/>
      </w:pPr>
      <w:r>
        <w:drawing>
          <wp:inline>
            <wp:extent cx="5572336" cy="6080760"/>
            <wp:effectExtent b="0" l="0" r="0" t="0"/>
            <wp:docPr descr="Exact agreement and paired gains against each human reviewer, pooled and by domain. Both pooled gains favor ARBITER; D5 gains are largest and D3 depends strongly on the human reviewer reference. The full-cohort Published comparison is shown separately." title="" id="27" name="Picture"/>
            <a:graphic>
              <a:graphicData uri="http://schemas.openxmlformats.org/drawingml/2006/picture">
                <pic:pic>
                  <pic:nvPicPr>
                    <pic:cNvPr descr="C:\Users\ALI-SA~1\AppData\Local\Temp\arbiter-analysis-word-h2yl2cwo\Figure4.png" id="28" name="Picture"/>
                    <pic:cNvPicPr>
                      <a:picLocks noChangeArrowheads="1" noChangeAspect="1"/>
                    </pic:cNvPicPr>
                  </pic:nvPicPr>
                  <pic:blipFill>
                    <a:blip r:embed="rId26"/>
                    <a:stretch>
                      <a:fillRect/>
                    </a:stretch>
                  </pic:blipFill>
                  <pic:spPr bwMode="auto">
                    <a:xfrm>
                      <a:off x="0" y="0"/>
                      <a:ext cx="5572336" cy="6080760"/>
                    </a:xfrm>
                    <a:prstGeom prst="rect">
                      <a:avLst/>
                    </a:prstGeom>
                    <a:noFill/>
                    <a:ln w="9525">
                      <a:noFill/>
                      <a:headEnd/>
                      <a:tailEnd/>
                    </a:ln>
                  </pic:spPr>
                </pic:pic>
              </a:graphicData>
            </a:graphic>
          </wp:inline>
        </w:drawing>
      </w:r>
    </w:p>
    <w:p>
      <w:pPr>
        <w:pStyle w:val="ImageCaption"/>
        <w:keepLines/>
      </w:pPr>
      <w:r>
        <w:t xml:space="preserve">Figure 4. Absolute and paired domain agreement with each independent human reviewer. Blue circles denote ARBITER and orange squares Direct prompting. Left panels show exact agreement with 95% intervals on a 0–100% scale; right panels show paired ARBITER minus Direct prompting differences in percentage points, with neutral diamonds and zero lines. Each human reviewer contributes 510 pooled cells and 102 per domain. Between human reviews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CI, 95% confidence interval; 10,000 percentile bootstrap replicates, trials resampled within meta-analysis; seed 20261018.</w:t>
      </w:r>
    </w:p>
    <w:bookmarkEnd w:id="29"/>
    <w:bookmarkStart w:id="33" w:name="figure-5"/>
    <w:p>
      <w:pPr>
        <w:pStyle w:val="Heading2"/>
        <w:pageBreakBefore/>
      </w:pPr>
      <w:r>
        <w:t xml:space="preserve">Figure 5</w:t>
      </w:r>
    </w:p>
    <w:p>
      <w:pPr>
        <w:pStyle w:val="CaptionedFigure"/>
        <w:keepNext/>
        <w:jc w:val="center"/>
      </w:pPr>
      <w:r>
        <w:drawing>
          <wp:inline>
            <wp:extent cx="6263640" cy="5217794"/>
            <wp:effectExtent b="0" l="0" r="0" t="0"/>
            <wp:docPr descr="Paired signalling-answer differences by domain and human reviewer, separating five-level and collapsed coding. D3 changes direction with coding against Human Review 1; D5 collapsed gains are smaller against Human Review 2." title="" id="31" name="Picture"/>
            <a:graphic>
              <a:graphicData uri="http://schemas.openxmlformats.org/drawingml/2006/picture">
                <pic:pic>
                  <pic:nvPicPr>
                    <pic:cNvPr descr="C:\Users\ALI-SA~1\AppData\Local\Temp\arbiter-analysis-word-h2yl2cwo\Figure5.png" id="32" name="Picture"/>
                    <pic:cNvPicPr>
                      <a:picLocks noChangeArrowheads="1" noChangeAspect="1"/>
                    </pic:cNvPicPr>
                  </pic:nvPicPr>
                  <pic:blipFill>
                    <a:blip r:embed="rId30"/>
                    <a:stretch>
                      <a:fillRect/>
                    </a:stretch>
                  </pic:blipFill>
                  <pic:spPr bwMode="auto">
                    <a:xfrm>
                      <a:off x="0" y="0"/>
                      <a:ext cx="6263640" cy="5217794"/>
                    </a:xfrm>
                    <a:prstGeom prst="rect">
                      <a:avLst/>
                    </a:prstGeom>
                    <a:noFill/>
                    <a:ln w="9525">
                      <a:noFill/>
                      <a:headEnd/>
                      <a:tailEnd/>
                    </a:ln>
                  </pic:spPr>
                </pic:pic>
              </a:graphicData>
            </a:graphic>
          </wp:inline>
        </w:drawing>
      </w:r>
    </w:p>
    <w:p>
      <w:pPr>
        <w:pStyle w:val="ImageCaption"/>
        <w:keepLines/>
      </w:pPr>
      <w:r>
        <w:t xml:space="preserve">Figure 5. Paired signalling-answer diagnostics. Rows cover all five domains against each human reviewer; n is the number of question components evaluable in both arms. Diamonds and bars show ARBITER minus Direct prompting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eTable 4 contains source-specific domain summaries, complete paired question contrasts and eligibility accounting for both codings. CI, 95% confidence interval; 10,000 percentile bootstrap replicates, trials resampled within meta-analysis; seed 20261018.</w:t>
      </w:r>
    </w:p>
    <w:bookmarkEnd w:id="33"/>
    <w:bookmarkEnd w:id="34"/>
    <w:bookmarkStart w:id="41" w:name="tables"/>
    <w:p>
      <w:pPr>
        <w:pStyle w:val="Heading1"/>
        <w:pageBreakBefore/>
      </w:pPr>
      <w:r>
        <w:t xml:space="preserve">Tables</w:t>
      </w:r>
    </w:p>
    <w:bookmarkStart w:id="36" w:name="table-2"/>
    <w:p>
      <w:pPr>
        <w:pStyle w:val="Heading2"/>
        <w:pageBreakBefore w:val="0"/>
      </w:pPr>
      <w:r>
        <w:t xml:space="preserve">Table 2. Benchmark and</w:t>
      </w:r>
      <w:r>
        <w:t xml:space="preserve"> </w:t>
      </w:r>
      <w:r>
        <w:t xml:space="preserve">reference context</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346/510 (67.8%); Some concerns: 131/510 (25.7%); High: 33/510 (6.5%)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375/510 (73.5%); Some concerns: 114/510 (22.4%); High: 21/510 (4.1%)</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Direct prompting</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407/510 (79.8%); Some concerns: 80/510 (15.7%); High: 23/510 (4.5%)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Rating categories are Low, Some concerns and High; each source contributes 510 domain cells. Document counts are trials with each role recorded in the source inventory among 102 trials; roles can overlap. SAP, statistical analysis plan. Source distributions and separate human reviewer agreement appear in the compact supplement.</w:t>
            </w:r>
          </w:p>
        </w:tc>
      </w:tr>
    </w:tbl>
    <w:p>
      <w:pPr>
        <w:pStyle w:val="BodyText"/>
      </w:pPr>
      <w:hyperlink r:id="rId35">
        <w:r>
          <w:rPr>
            <w:rStyle w:val="Hyperlink"/>
          </w:rPr>
          <w:t xml:space="preserve">Download editable Word table</w:t>
        </w:r>
      </w:hyperlink>
    </w:p>
    <w:bookmarkEnd w:id="36"/>
    <w:bookmarkStart w:id="38" w:name="table-3"/>
    <w:p>
      <w:pPr>
        <w:pStyle w:val="Heading2"/>
        <w:pageBreakBefore/>
      </w:pPr>
      <w:r>
        <w:t xml:space="preserve">Table 3.</w:t>
      </w:r>
      <w:r>
        <w:t xml:space="preserve"> </w:t>
      </w:r>
      <w:r>
        <w:t xml:space="preserve">Process checks and computational resources</w:t>
      </w:r>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3747"/>
        <w:gridCol w:w="1606"/>
        <w:gridCol w:w="2122"/>
        <w:gridCol w:w="2390"/>
      </w:tblGrid>
      <w:tr>
        <w:trPr>
          <w:cantSplit/>
          <w:tblHeader/>
        </w:trPr>
        <w:tc>
          <w:tcPr>
            <w:tcW w:type="dxa" w:w="37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Measure</w:t>
            </w:r>
          </w:p>
        </w:tc>
        <w:tc>
          <w:tcPr>
            <w:tcW w:type="dxa" w:w="16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21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mean difference (95% CI)</w:t>
            </w:r>
          </w:p>
        </w:tc>
      </w:tr>
      <w:tr>
        <w:trPr>
          <w:cantSplit/>
        </w:trPr>
        <w:tc>
          <w:tcPr>
            <w:gridSpan w:val="4"/>
            <w:tcW w:type="dxa" w:w="9865"/>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A. Rule conformance</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Domain outputs reproduced from proposals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510/510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Rating contradicts its own answers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26/509 (5.1%; 3.3–6.9)</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Required question skipped</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39/509 (7.7%; 5.7–10.0)</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Any rule break</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65/509 (12.8%; 10.0–15.6)</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4"/>
            <w:tcW w:type="dxa" w:w="9865"/>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B. Computational resources</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Runtime (minutes/trial), median (IQR)</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(6.1–10.5)</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 (0.4–0.5)</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(8.4–14.1)</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API list-price equivalent (US$/trial), median (IQR)</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3.78 (3.46–4.10)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(0.07–0.13)</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3.68 (3.61–3.75)</w:t>
            </w:r>
          </w:p>
        </w:tc>
      </w:tr>
      <w:tr>
        <w:trPr>
          <w:cantSplit/>
        </w:trPr>
        <w:tc>
          <w:tcPr>
            <w:gridSpan w:val="4"/>
            <w:tcW w:type="dxa" w:w="9865"/>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C. Evidence records (ARBITER only)</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Active required answers citing evidence</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1,538/1,538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Text spans with complete binding fields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1,407/1,407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Image records with complete fields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14/14 (100%)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Exported records passing verification</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102/102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4"/>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Direct prompting rule-break cells show No./total (%; 95% CI); CI bounds are percentages. Domain rules use evaluable ratings (ARBITER 510; Direct prompting 509); one Direct prompting cell is unevaluable. ARBITER has no recorded domain overrides; one Overall escalation is permitted. Runtime and API list-price equivalents use 102 paired trials; source summaries are median (IQR), contrasts are paired mean differences. Cost is a frozen-rate equivalent, not expenditure. Evidence-record checks do not assess whether evidence supports an answer. — means not applicable; Not available means not measured. CI, 95% confidence interval; 10,000 percentile bootstrap replicates, trials resampled within meta-analysis; seed 20261018.</w:t>
            </w:r>
          </w:p>
        </w:tc>
      </w:tr>
    </w:tbl>
    <w:p>
      <w:pPr>
        <w:pStyle w:val="BodyText"/>
      </w:pPr>
      <w:hyperlink r:id="rId37">
        <w:r>
          <w:rPr>
            <w:rStyle w:val="Hyperlink"/>
          </w:rPr>
          <w:t xml:space="preserve">Download editable Word table</w:t>
        </w:r>
      </w:hyperlink>
    </w:p>
    <w:bookmarkEnd w:id="38"/>
    <w:bookmarkStart w:id="40" w:name="table-4"/>
    <w:p>
      <w:pPr>
        <w:pStyle w:val="Heading2"/>
        <w:pageBreakBefore/>
      </w:pPr>
      <w:r>
        <w:t xml:space="preserve">Table</w:t>
      </w:r>
      <w:r>
        <w:t xml:space="preserve"> </w:t>
      </w:r>
      <w:r>
        <w:t xml:space="preserve">4. Conditional blinded-label choices and sensitivities</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Agreed choices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Conditional blinded-label choice evaluation includes 80 arm-cells where the two arms disagreed and the 60 for which the human reviewers made an agreed choice; 20 choices split. Review-specific sensitivities use all 80. The final row counts all 20 splits against ARBITER by assumption, without assigning Direct prompting wins. Human Review 1 chose neither arm in 4/80 cells; this is distinct from the split-loss assumption. CI, 95% confidence interval; 10,000 percentile bootstrap replicates, trials resampled within meta-analysis; seed 20261018.</w:t>
            </w:r>
          </w:p>
        </w:tc>
      </w:tr>
    </w:tbl>
    <w:p>
      <w:pPr>
        <w:pStyle w:val="BodyText"/>
      </w:pPr>
      <w:hyperlink r:id="rId39">
        <w:r>
          <w:rPr>
            <w:rStyle w:val="Hyperlink"/>
          </w:rPr>
          <w:t xml:space="preserve">Download editable Word table</w:t>
        </w:r>
      </w:hyperlink>
    </w:p>
    <w:bookmarkEnd w:id="40"/>
    <w:bookmarkEnd w:id="41"/>
    <w:bookmarkStart w:id="44" w:name="reproduction"/>
    <w:p>
      <w:pPr>
        <w:pStyle w:val="Heading1"/>
      </w:pPr>
      <w:r>
        <w:t xml:space="preserve">Reproduction</w:t>
      </w:r>
    </w:p>
    <w:p>
      <w:pPr>
        <w:pStyle w:val="FirstParagraph"/>
      </w:pPr>
      <w:r>
        <w:t xml:space="preserve">The</w:t>
      </w:r>
      <w:r>
        <w:t xml:space="preserve"> </w:t>
      </w:r>
      <w:hyperlink r:id="rId42">
        <w:r>
          <w:rPr>
            <w:rStyle w:val="Hyperlink"/>
          </w:rPr>
          <w:t xml:space="preserve">study repository</w:t>
        </w:r>
      </w:hyperlink>
      <w:r>
        <w:t xml:space="preserve"> </w:t>
      </w:r>
      <w:r>
        <w:t xml:space="preserve">contains the analysis pipeline, test suite, numerical exports and output verifier.</w:t>
      </w:r>
      <w:r>
        <w:t xml:space="preserve"> </w:t>
      </w:r>
      <w:hyperlink r:id="rId43">
        <w:r>
          <w:rPr>
            <w:rStyle w:val="Hyperlink"/>
          </w:rPr>
          <w:t xml:space="preserve">Supplementary methods and results</w:t>
        </w:r>
      </w:hyperlink>
      <w:r>
        <w:t xml:space="preserve"> </w:t>
      </w:r>
      <w:r>
        <w:t xml:space="preserve">provide supporting estimates, complete paired question results, prompts, reporting locations and links to the complete worked-example records. Trial PDFs are not redistributed.</w:t>
      </w:r>
    </w:p>
    <w:bookmarkEnd w:id="44"/>
    <w:bookmarkEnd w:id="45"/>
    <w:sectPr>
      <w:footerReference w:type="default" r:id="rId9"/>
      <w:footnotePr>
        <w:numRestart w:val="eachSect"/>
      </w:footnotePr>
      <w:pgSz w:w="12240" w:h="15840"/>
      <w:pgMar w:top="936" w:bottom="936"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120"/>
    </w:pPr>
    <w:rPr>
      <w:rFonts w:ascii="Arial" w:hAnsi="Arial"/>
      <w:color w:val="000000"/>
      <w:sz w:val="22"/>
    </w:rPr>
  </w:style>
  <w:style w:styleId="BodyText" w:type="paragraph">
    <w:name w:val="Body Text"/>
    <w:basedOn w:val="Normal"/>
    <w:link w:val="BodyTextChar"/>
    <w:qFormat/>
    <w:pPr>
      <w:spacing w:after="120" w:before="180" w:line="264" w:lineRule="auto"/>
    </w:pPr>
    <w:rPr>
      <w:rFonts w:ascii="Arial" w:hAnsi="Arial"/>
      <w:color w:val="000000"/>
      <w:sz w:val="22"/>
    </w:rPr>
  </w:style>
  <w:style w:customStyle="1" w:styleId="FirstParagraph" w:type="paragraph">
    <w:name w:val="First Paragraph"/>
    <w:basedOn w:val="BodyText"/>
    <w:next w:val="BodyText"/>
    <w:qFormat/>
    <w:pPr>
      <w:spacing w:line="264" w:lineRule="auto" w:after="120"/>
    </w:pPr>
    <w:rPr>
      <w:rFonts w:ascii="Arial" w:hAnsi="Arial"/>
      <w:color w:val="000000"/>
      <w:sz w:val="22"/>
    </w:rPr>
  </w:style>
  <w:style w:customStyle="1" w:styleId="Compact" w:type="paragraph">
    <w:name w:val="Compact"/>
    <w:basedOn w:val="BodyText"/>
    <w:qFormat/>
    <w:pPr>
      <w:spacing w:after="120" w:before="36" w:line="264" w:lineRule="auto"/>
    </w:pPr>
    <w:rPr>
      <w:rFonts w:ascii="Arial" w:hAnsi="Arial"/>
      <w:color w:val="000000"/>
      <w:sz w:val="22"/>
    </w:rPr>
  </w:style>
  <w:style w:styleId="Title" w:type="paragraph">
    <w:name w:val="Title"/>
    <w:basedOn w:val="Normal"/>
    <w:next w:val="BodyText"/>
    <w:link w:val="TitleChar"/>
    <w:uiPriority w:val="10"/>
    <w:qFormat/>
    <w:rsid w:val="00A10FD9"/>
    <w:pPr>
      <w:spacing w:after="120" w:line="264" w:lineRule="auto"/>
      <w:contextualSpacing/>
      <w:jc w:val="center"/>
    </w:pPr>
    <w:rPr>
      <w:rFonts w:asciiTheme="majorHAnsi" w:cstheme="majorBidi" w:eastAsiaTheme="majorEastAsia" w:hAnsiTheme="majorHAnsi" w:ascii="Arial" w:hAnsi="Arial"/>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264" w:lineRule="auto" w:after="120"/>
    </w:pPr>
    <w:rPr>
      <w:rFonts w:cstheme="majorBidi" w:eastAsiaTheme="majorEastAsia"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64" w:lineRule="auto" w:after="120"/>
    </w:pPr>
    <w:rPr>
      <w:rFonts w:ascii="Arial" w:hAnsi="Arial"/>
      <w:color w:val="000000"/>
      <w:sz w:val="22"/>
      <w:szCs w:val="24"/>
    </w:rPr>
  </w:style>
  <w:style w:styleId="Date" w:type="paragraph">
    <w:name w:val="Date"/>
    <w:basedOn w:val="Title"/>
    <w:next w:val="BodyText"/>
    <w:qFormat/>
    <w:pPr>
      <w:keepNext/>
      <w:keepLines/>
      <w:spacing w:line="264" w:lineRule="auto" w:after="120"/>
    </w:pPr>
    <w:rPr>
      <w:rFonts w:ascii="Arial" w:hAnsi="Arial"/>
      <w:color w:val="000000"/>
      <w:sz w:val="22"/>
      <w:szCs w:val="24"/>
    </w:rPr>
  </w:style>
  <w:style w:customStyle="1" w:styleId="AbstractTitle" w:type="paragraph">
    <w:name w:val="Abstract Title"/>
    <w:basedOn w:val="Normal"/>
    <w:next w:val="Abstract"/>
    <w:qFormat/>
    <w:pPr>
      <w:keepNext/>
      <w:keepLines/>
      <w:spacing w:after="120" w:before="300" w:line="264"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120" w:before="100" w:line="264" w:lineRule="auto"/>
    </w:pPr>
    <w:rPr>
      <w:rFonts w:ascii="Arial" w:hAnsi="Arial"/>
      <w:color w:val="000000"/>
      <w:sz w:val="22"/>
      <w:szCs w:val="20"/>
    </w:rPr>
  </w:style>
  <w:style w:styleId="Bibliography" w:type="paragraph">
    <w:name w:val="Bibliography"/>
    <w:basedOn w:val="Normal"/>
    <w:next w:val="Bibliography"/>
    <w:qFormat/>
    <w:pPr>
      <w:spacing w:line="264" w:lineRule="auto" w:after="12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120" w:before="360" w:line="264" w:lineRule="auto"/>
      <w:outlineLvl w:val="0"/>
    </w:pPr>
    <w:rPr>
      <w:rFonts w:asciiTheme="majorHAnsi" w:cstheme="majorBidi" w:eastAsiaTheme="majorEastAsia" w:hAnsiTheme="majorHAnsi" w:ascii="Arial" w:hAnsi="Arial"/>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64" w:lineRule="auto"/>
      <w:outlineLvl w:val="1"/>
    </w:pPr>
    <w:rPr>
      <w:rFonts w:asciiTheme="majorHAnsi" w:cstheme="majorBidi" w:eastAsiaTheme="majorEastAsia" w:hAnsiTheme="majorHAnsi" w:ascii="Arial" w:hAnsi="Arial"/>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64" w:lineRule="auto"/>
      <w:outlineLvl w:val="2"/>
    </w:pPr>
    <w:rPr>
      <w:rFonts w:cstheme="majorBidi" w:eastAsiaTheme="majorEastAsia"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120" w:before="80" w:line="264" w:lineRule="auto"/>
      <w:outlineLvl w:val="3"/>
    </w:pPr>
    <w:rPr>
      <w:rFonts w:cstheme="majorBidi" w:eastAsiaTheme="majorEastAsia"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20" w:before="80" w:line="264" w:lineRule="auto"/>
      <w:outlineLvl w:val="4"/>
    </w:pPr>
    <w:rPr>
      <w:rFonts w:cstheme="majorBidi" w:eastAsiaTheme="majorEastAsia"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120" w:before="40" w:line="264" w:lineRule="auto"/>
      <w:outlineLvl w:val="5"/>
    </w:pPr>
    <w:rPr>
      <w:rFonts w:cstheme="majorBidi" w:eastAsiaTheme="majorEastAsia"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120" w:before="40" w:line="264" w:lineRule="auto"/>
      <w:outlineLvl w:val="6"/>
    </w:pPr>
    <w:rPr>
      <w:rFonts w:cstheme="majorBidi" w:eastAsiaTheme="majorEastAsia"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120" w:line="264" w:lineRule="auto"/>
      <w:outlineLvl w:val="7"/>
    </w:pPr>
    <w:rPr>
      <w:rFonts w:cstheme="majorBidi" w:eastAsiaTheme="majorEastAsia"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120" w:line="264" w:lineRule="auto"/>
      <w:outlineLvl w:val="8"/>
    </w:pPr>
    <w:rPr>
      <w:rFonts w:cstheme="majorBidi" w:eastAsiaTheme="majorEastAsia"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00" w:line="264"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264" w:lineRule="auto" w:after="120"/>
    </w:pPr>
    <w:rPr>
      <w:rFonts w:ascii="Arial" w:hAnsi="Arial"/>
      <w:color w:val="000000"/>
      <w:sz w:val="22"/>
    </w:rPr>
  </w:style>
  <w:style w:styleId="FootnoteBlockText" w:type="paragraph">
    <w:name w:val="Footnote Block Text"/>
    <w:basedOn w:val="FootnoteText"/>
    <w:next w:val="FootnoteText"/>
    <w:uiPriority w:val="9"/>
    <w:unhideWhenUsed/>
    <w:qFormat/>
    <w:pPr>
      <w:spacing w:after="120" w:before="100" w:line="264"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264" w:lineRule="auto"/>
    </w:pPr>
    <w:rPr>
      <w:rFonts w:ascii="Arial" w:hAnsi="Arial"/>
      <w:b/>
      <w:color w:val="000000"/>
      <w:sz w:val="22"/>
    </w:rPr>
  </w:style>
  <w:style w:customStyle="1" w:styleId="Definition" w:type="paragraph">
    <w:name w:val="Definition"/>
    <w:basedOn w:val="Normal"/>
    <w:pPr>
      <w:spacing w:line="264" w:lineRule="auto" w:after="120"/>
    </w:pPr>
    <w:rPr>
      <w:rFonts w:ascii="Arial" w:hAnsi="Arial"/>
      <w:color w:val="000000"/>
      <w:sz w:val="22"/>
    </w:rPr>
  </w:style>
  <w:style w:styleId="Caption" w:type="paragraph">
    <w:name w:val="Caption"/>
    <w:basedOn w:val="Normal"/>
    <w:link w:val="BodyTextChar"/>
    <w:pPr>
      <w:spacing w:after="120" w:before="0" w:line="264" w:lineRule="auto"/>
    </w:pPr>
    <w:rPr>
      <w:rFonts w:ascii="Arial" w:hAnsi="Arial"/>
      <w:i/>
      <w:color w:val="000000"/>
      <w:sz w:val="22"/>
    </w:rPr>
  </w:style>
  <w:style w:customStyle="1" w:styleId="TableCaption" w:type="paragraph">
    <w:name w:val="Table Caption"/>
    <w:basedOn w:val="Caption"/>
    <w:pPr>
      <w:keepNext/>
      <w:spacing w:line="264" w:lineRule="auto" w:after="120"/>
    </w:pPr>
    <w:rPr>
      <w:rFonts w:ascii="Arial" w:hAnsi="Arial"/>
      <w:color w:val="000000"/>
      <w:sz w:val="22"/>
    </w:rPr>
  </w:style>
  <w:style w:customStyle="1" w:styleId="ImageCaption" w:type="paragraph">
    <w:name w:val="Image Caption"/>
    <w:basedOn w:val="Caption"/>
    <w:pPr>
      <w:spacing w:line="264" w:lineRule="auto" w:after="120"/>
    </w:pPr>
    <w:rPr>
      <w:rFonts w:ascii="Arial" w:hAnsi="Arial"/>
      <w:color w:val="000000"/>
      <w:sz w:val="22"/>
    </w:rPr>
  </w:style>
  <w:style w:customStyle="1" w:styleId="Figure" w:type="paragraph">
    <w:name w:val="Figure"/>
    <w:basedOn w:val="Normal"/>
    <w:pPr>
      <w:spacing w:line="264" w:lineRule="auto" w:after="120"/>
    </w:pPr>
    <w:rPr>
      <w:rFonts w:ascii="Arial" w:hAnsi="Arial"/>
      <w:color w:val="000000"/>
      <w:sz w:val="22"/>
    </w:rPr>
  </w:style>
  <w:style w:customStyle="1" w:styleId="CaptionedFigure" w:type="paragraph">
    <w:name w:val="Captioned Figure"/>
    <w:basedOn w:val="Figure"/>
    <w:pPr>
      <w:keepNext/>
      <w:spacing w:line="264" w:lineRule="auto" w:after="12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64" w:lineRule="auto" w:after="120"/>
      <w:outlineLvl w:val="9"/>
    </w:pPr>
    <w:rPr>
      <w:rFonts w:asciiTheme="majorHAnsi" w:cstheme="majorBidi" w:eastAsiaTheme="majorEastAsia" w:hAnsiTheme="majorHAnsi" w:ascii="Arial" w:hAnsi="Arial"/>
      <w:b w:val="0"/>
      <w:bCs w:val="0"/>
      <w:color w:val="000000"/>
      <w:sz w:val="22"/>
    </w:rPr>
  </w:style>
  <w:style w:type="paragraph" w:customStyle="1" w:styleId="SourceCode">
    <w:name w:val="Source Code"/>
    <w:basedOn w:val="Normal"/>
    <w:link w:val="VerbatimChar"/>
    <w:pPr>
      <w:wordWrap w:val="off"/>
      <w:spacing w:line="264" w:lineRule="auto" w:after="12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6" Type="http://schemas.openxmlformats.org/officeDocument/2006/relationships/image" Target="media/rId16.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hyperlink" Target="https://alisalman-et-al.github.io/arbiter-JAMIA/output/manuscript/Table2.docx" TargetMode="External"/><Relationship Id="rId37" Type="http://schemas.openxmlformats.org/officeDocument/2006/relationships/hyperlink" Target="https://alisalman-et-al.github.io/arbiter-JAMIA/output/manuscript/Table3.docx" TargetMode="External"/><Relationship Id="rId39" Type="http://schemas.openxmlformats.org/officeDocument/2006/relationships/hyperlink" Target="https://alisalman-et-al.github.io/arbiter-JAMIA/output/manuscript/Table4.docx" TargetMode="External"/><Relationship Id="rId43" Type="http://schemas.openxmlformats.org/officeDocument/2006/relationships/hyperlink" Target="https://alisalman-et-al.github.io/arbiter-JAMIA/supplement.html" TargetMode="External"/><Relationship Id="rId42" Type="http://schemas.openxmlformats.org/officeDocument/2006/relationships/hyperlink" Target="https://github.com/AliSalman-et-al/arbiter-JAMIA" TargetMode="External"/><Relationship Id="rId19" Type="http://schemas.openxmlformats.org/officeDocument/2006/relationships/hyperlink" Target="https://github.com/AliSalman-et-al/arbiter-JAMIA/blob/main/analysis/output/tables/avatar-trace-answers.csv" TargetMode="External"/><Relationship Id="rId20" Type="http://schemas.openxmlformats.org/officeDocument/2006/relationships/hyperlink" Target="https://github.com/AliSalman-et-al/arbiter-JAMIA/blob/main/analysis/output/tables/avatar-trace-evidence.csv"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alisalman-et-al.github.io/arbiter-JAMIA/output/manuscript/Table2.docx" TargetMode="External"/><Relationship Id="rId37" Type="http://schemas.openxmlformats.org/officeDocument/2006/relationships/hyperlink" Target="https://alisalman-et-al.github.io/arbiter-JAMIA/output/manuscript/Table3.docx" TargetMode="External"/><Relationship Id="rId39" Type="http://schemas.openxmlformats.org/officeDocument/2006/relationships/hyperlink" Target="https://alisalman-et-al.github.io/arbiter-JAMIA/output/manuscript/Table4.docx" TargetMode="External"/><Relationship Id="rId43" Type="http://schemas.openxmlformats.org/officeDocument/2006/relationships/hyperlink" Target="https://alisalman-et-al.github.io/arbiter-JAMIA/supplement.html" TargetMode="External"/><Relationship Id="rId42" Type="http://schemas.openxmlformats.org/officeDocument/2006/relationships/hyperlink" Target="https://github.com/AliSalman-et-al/arbiter-JAMIA" TargetMode="External"/><Relationship Id="rId19" Type="http://schemas.openxmlformats.org/officeDocument/2006/relationships/hyperlink" Target="https://github.com/AliSalman-et-al/arbiter-JAMIA/blob/main/analysis/output/tables/avatar-trace-answers.csv" TargetMode="External"/><Relationship Id="rId20" Type="http://schemas.openxmlformats.org/officeDocument/2006/relationships/hyperlink" Target="https://github.com/AliSalman-et-al/arbiter-JAMIA/blob/main/analysis/output/tables/avatar-trace-evidence.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2026-10-27T17:52:35Z</dcterms:created>
  <dcterms:modified xsi:type="dcterms:W3CDTF">2026-10-27T17:52:35Z</dcterms:modified>
</cp:coreProperties>
</file>

<file path=docProps/custom.xml><?xml version="1.0" encoding="utf-8"?>
<Properties xmlns="http://schemas.openxmlformats.org/officeDocument/2006/custom-properties" xmlns:vt="http://schemas.openxmlformats.org/officeDocument/2006/docPropsVTypes"/>
</file>