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bookmarkStart w:id="1" w:name="loc_0"/>
      <w:pPr>
        <w:pStyle w:val="Titre1"/>
      </w:pPr>
      <w:r>
        <w:t>Table 2. Benchmark and reference context</w:t>
      </w:r>
      <w:bookmarkEnd w:id="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3354"/>
        <w:gridCol w:w="6510"/>
      </w:tblGrid>
      <w:tr>
        <w:trPr>
          <w:cantSplit/>
          <w:tblHeader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Characteristic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Value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102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Meta-analyses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Specialties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protocol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26/102 (25.5%)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registry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73/102 (71.6%)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SAP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22/102 (21.6%)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Trials with supplement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69/102 (67.6%)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Human Review 1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277/510 (54.3%); Some concerns: 163/510 (32.0%); High: 70/510 (13.7%)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Human Review 2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346/510 (67.8%); Some concerns: 131/510 (25.7%); High: 33/510 (6.5%)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Published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427/510 (83.7%); Some concerns: 69/510 (13.5%); High: 14/510 (2.7%)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ARBITER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375/510 (73.5%); Some concerns: 114/510 (22.4%); High: 21/510 (4.1%)</w:t>
            </w:r>
          </w:p>
        </w:tc>
      </w:tr>
      <w:tr>
        <w:trPr>
          <w:cantSplit/>
        </w:trPr>
        <w:tc>
          <w:tcPr>
            <w:tcW w:type="dxa" w:w="335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D1–D5: Direct prompting</w:t>
            </w:r>
          </w:p>
        </w:tc>
        <w:tc>
          <w:tcPr>
            <w:tcW w:type="dxa" w:w="651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Low: 407/510 (79.8%); Some concerns: 80/510 (15.7%); High: 23/510 (4.5%)</w:t>
            </w:r>
          </w:p>
        </w:tc>
      </w:tr>
      <w:tr>
        <w:trPr>
          <w:cantSplit/>
        </w:trPr>
        <w:tc>
          <w:tcPr>
            <w:gridSpan w:val="2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Rating categories are Low, Some concerns and High; each source contributes 510 domain cells. Document counts are trials with each role recorded in the source inventory among 102 trials; roles can overlap. SAP, statistical analysis plan. Source distributions and separate human reviewer agreement appear in the compact supplement.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footerReference w:type="default" r:id="rId7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00" w:before="0" w:line="312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2026-10-27T22:32:12Z</dcterms:modified>
  <cp:category/>
</cp:coreProperties>
</file>