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Table 3. Process checks and computational resources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5"/>
        <w:tblLayout w:type="fixed"/>
      </w:tblPr>
      <w:tblGrid>
        <w:gridCol w:w="3747"/>
        <w:gridCol w:w="1606"/>
        <w:gridCol w:w="2122"/>
        <w:gridCol w:w="2390"/>
      </w:tblGrid>
      <w:tr>
        <w:trPr>
          <w:cantSplit/>
          <w:tblHeader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Measure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ARBITER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Direct prompting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Paired mean difference (95% CI)</w:t>
            </w:r>
          </w:p>
        </w:tc>
      </w:tr>
      <w:tr>
        <w:trPr>
          <w:cantSplit/>
        </w:trPr>
        <w:tc>
          <w:tcPr>
            <w:gridSpan w:val="4"/>
            <w:tcW w:type="dxa" w:w="9865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nil" w:sz="0" w:color="666666"/>
              <w:start w:val="nil" w:sz="0" w:color="666666"/>
              <w:end w:val="nil" w:sz="0" w:color="666666"/>
            </w:tcBorders>
            <w:shd w:fill="F4F4F4"/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  <w:b/>
              </w:rPr>
              <w:t xml:space="default">A. Rule conformance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Domain outputs reproduced from proposals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510/510 (100.0%)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Rating contradicts its own answers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 by design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26/509 (5.1%; 3.3–6.9)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Required question skipped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 by design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39/509 (7.7%; 5.7–10.0)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Any rule break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 by design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65/509 (12.8%; 10.0–15.6)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4"/>
            <w:tcW w:type="dxa" w:w="9865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nil" w:sz="0" w:color="666666"/>
              <w:start w:val="nil" w:sz="0" w:color="666666"/>
              <w:end w:val="nil" w:sz="0" w:color="666666"/>
            </w:tcBorders>
            <w:shd w:fill="F4F4F4"/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  <w:b/>
              </w:rPr>
              <w:t xml:space="default">B. Computational resources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Runtime (minutes/trial), median (IQR)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7.6 (6.1–10.5)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0.5 (0.4–0.5)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11.0 (8.4–14.1)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API list-price equivalent (US$/trial), median (IQR)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3.78 (3.46–4.10)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0.09 (0.07–0.13)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3.68 (3.61–3.75)</w:t>
            </w:r>
          </w:p>
        </w:tc>
      </w:tr>
      <w:tr>
        <w:trPr>
          <w:cantSplit/>
        </w:trPr>
        <w:tc>
          <w:tcPr>
            <w:gridSpan w:val="4"/>
            <w:tcW w:type="dxa" w:w="9865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nil" w:sz="0" w:color="666666"/>
              <w:start w:val="nil" w:sz="0" w:color="666666"/>
              <w:end w:val="nil" w:sz="0" w:color="666666"/>
            </w:tcBorders>
            <w:shd w:fill="F4F4F4"/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  <w:b/>
              </w:rPr>
              <w:t xml:space="default">C. Evidence records (ARBITER only)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Active required answers citing evidence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1,538/1,538 (100.0%)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 spans with complete binding fields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1,407/1,407 (100.0%)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Image records with complete fields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14/14 (100%)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Exported records passing verification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102/102 (100.0%)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4"/>
            <w:tcW w:type="dxa" w:w="9865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Direct prompting rule-break cells show No./total (%; 95% CI); CI bounds are percentages. Domain rules use evaluable ratings (ARBITER 510; Direct prompting 509); one Direct prompting cell is unevaluable. ARBITER has no recorded domain overrides; one Overall escalation is permitted. Runtime and API list-price equivalents use 102 paired trials; source summaries are median (IQR), contrasts are paired mean differences. Cost is a frozen-rate equivalent, not expenditure. Evidence-record checks do not assess whether evidence supports an answer. — means not applicable; Not available means not measured. CI, 95%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2026-10-27T21:40:57Z</dcterms:modified>
  <cp:category/>
</cp:coreProperties>
</file>