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d6bc0427f4ae1b62f36b1141b02008da0f1b7c7"/>
    <w:p>
      <w:pPr>
        <w:pStyle w:val="Title"/>
      </w:pPr>
      <w:r>
        <w:rPr>
          <w:b/>
          <w:sz w:val="28"/>
        </w:rPr>
        <w:t xml:space="preserve">ARBITER: an evidence-linked workflow for AI-assisted risk-of-bias assessment</w:t>
      </w:r>
    </w:p>
    <w:bookmarkStart w:id="9" w:name="front-matter-notes"/>
    <w:p>
      <w:pPr>
        <w:pStyle w:val="FirstParagraph"/>
      </w:pPr>
      <w:r>
        <w:t xml:space="preserve">Article type: Research and Applications. Main displays comprise five figures and three tables.</w:t>
      </w:r>
    </w:p>
    <w:p>
      <w:pPr>
        <w:pStyle w:val="BodyText"/>
      </w:pPr>
      <w:r>
        <w:t xml:space="preserve">Author: Ali Salman, MBBS. Affiliations: [Department, institution, city and country]. Correspondence: [Postal address, email and telephone]. [Confirm complete author list and order].</w:t>
      </w:r>
    </w:p>
    <w:p>
      <w:pPr>
        <w:pStyle w:val="BodyText"/>
      </w:pPr>
      <w:r>
        <w:t xml:space="preserve">Keywords: artificial intelligence; risk of bias; evidence synthesis; reproducibility; clinical trials.</w:t>
      </w:r>
    </w:p>
    <w:p>
      <w:r>
        <w:t>Word counts: main text 3704; structured abstract 214.</w:t>
      </w:r>
    </w:p>
    <w:bookmarkEnd w:id="9"/>
    <w:bookmarkStart w:id="15" w:name="abstract"/>
    <w:p>
      <w:bookmarkStart w:id="69" w:name="loc_5"/>
      <w:pPr>
        <w:pStyle w:val="Heading1"/>
        <w:pageBreakBefore/>
        <w:spacing w:line="240" w:lineRule="auto"/>
      </w:pPr>
      <w:r>
        <w:rPr>
          <w:b/>
        </w:rPr>
        <w:t>ABSTRACT</w:t>
      </w:r>
      <w:bookmarkEnd w:id="69"/>
    </w:p>
    <w:bookmarkStart w:id="10" w:name="objective"/>
    <w:p>
      <w:pPr>
        <w:pStyle w:val="FirstParagraph"/>
        <w:spacing w:after="80"/>
      </w:pPr>
      <w:r>
        <w:rPr>
          <w:b/>
        </w:rPr>
        <w:t xml:space="preserve">Objective. </w:t>
      </w:r>
      <w:r>
        <w:t xml:space="preserve">To present ARBITER, an inspectable workflow for the Cochrane risk-of-bias tool for randomised trials (RoB 2), and compare its judgments with same-model minimal prompting.</w:t>
      </w:r>
    </w:p>
    <w:bookmarkEnd w:id="10"/>
    <w:bookmarkStart w:id="11" w:name="materials-and-methods"/>
    <w:p>
      <w:pPr>
        <w:pStyle w:val="FirstParagraph"/>
        <w:spacing w:after="80"/>
      </w:pPr>
      <w:r>
        <w:rPr>
          <w:b/>
        </w:rPr>
        <w:t xml:space="preserve">Materials and Methods. </w:t>
      </w:r>
      <w:r>
        <w:t xml:space="preserve">ARBITER retains sources, evidence and signalling answers and applies decision rules in software. Its Sonnet workflow and a minimal-prompt comparator (Unassisted) assessed identical supplied documents for 102 trials from 16 reviews. Outcomes included agreement with published labels, independent expert ratings and conditional blinded label choices. Paired intervals resampled trials within fixed reviews.</w:t>
      </w:r>
    </w:p>
    <w:bookmarkEnd w:id="11"/>
    <w:bookmarkStart w:id="12" w:name="results"/>
    <w:p>
      <w:pPr>
        <w:pStyle w:val="FirstParagraph"/>
        <w:spacing w:after="80"/>
      </w:pPr>
      <w:r>
        <w:rPr>
          <w:b/>
        </w:rPr>
        <w:t xml:space="preserve">Results. </w:t>
      </w:r>
      <w:r>
        <w:t xml:space="preserve">Against published labels, ARBITER minus Unassisted exact agreement was −1.8 percentage points (95% CI, −5.1 to 1.6). Exact agreement was 371/510 (72.7%) versus 332/510 (65.1%) against Expert 1 and 433/510 (84.9%) versus 400/510 (78.4%) against Expert 2. Paired gains were 7.6 points (95% CI, 5.1–10.2) and 6.5 (3.5–9.4). Among 80 workflow disagreements, experts agreed on 60 blinded label choices and split on 20; 53/60 agreed choices matched ARBITER (88%; 95% CI, 80–96%). All 510 ARBITER domain outputs followed executable rules. Structural checks did not assess evidence support. Median runtime was 7.6 versus 0.5 minutes per trial.</w:t>
      </w:r>
    </w:p>
    <w:bookmarkEnd w:id="12"/>
    <w:bookmarkStart w:id="13" w:name="discussion"/>
    <w:p>
      <w:pPr>
        <w:pStyle w:val="FirstParagraph"/>
        <w:spacing w:after="80"/>
      </w:pPr>
      <w:r>
        <w:rPr>
          <w:b/>
        </w:rPr>
        <w:t xml:space="preserve">Discussion. </w:t>
      </w:r>
      <w:r>
        <w:t xml:space="preserve">Label matching does not endorse ARBITER’s reasoning. Agreement varied by domain and reference. The complete-workflow comparison cannot isolate component effects or establish reviewer benefit.</w:t>
      </w:r>
    </w:p>
    <w:bookmarkEnd w:id="13"/>
    <w:bookmarkStart w:id="14" w:name="conclusion"/>
    <w:p>
      <w:pPr>
        <w:pStyle w:val="FirstParagraph"/>
        <w:spacing w:after="80"/>
      </w:pPr>
      <w:r>
        <w:rPr>
          <w:b/>
        </w:rPr>
        <w:t xml:space="preserve">Conclusion. </w:t>
      </w:r>
      <w:r>
        <w:t xml:space="preserve">ARBITER preserved an inspectable assessment pathway and agreed more often with both independent experts in this single-run benchmark.</w:t>
      </w:r>
    </w:p>
    <w:bookmarkEnd w:id="14"/>
    <w:bookmarkEnd w:id="15"/>
    <w:bookmarkStart w:id="18" w:name="introduction"/>
    <w:p>
      <w:bookmarkStart w:id="75" w:name="loc_11"/>
      <w:pPr>
        <w:pStyle w:val="Heading1"/>
        <w:pageBreakBefore/>
      </w:pPr>
      <w:r>
        <w:rPr>
          <w:b/>
        </w:rPr>
        <w:t>INTRODUCTION</w:t>
      </w:r>
      <w:bookmarkEnd w:id="75"/>
    </w:p>
    <w:bookmarkStart w:id="16" w:name="background-and-significance"/>
    <w:p>
      <w:bookmarkStart w:id="76" w:name="loc_12"/>
      <w:pPr>
        <w:pStyle w:val="Heading2"/>
      </w:pPr>
      <w:r>
        <w:rPr>
          <w:b/>
        </w:rPr>
        <w:t>Background and significance</w:t>
      </w:r>
      <w:bookmarkEnd w:id="76"/>
    </w:p>
    <w:p>
      <w:pPr>
        <w:pStyle w:val="FirstParagraph"/>
      </w:pPr>
      <w:r>
        <w:t xml:space="preserve">Risk-of-bias assessment informs how trial results contribute to evidence synthesis. The Cochrane risk-of-bias tool for randomised trials (RoB 2) evaluates a specified result across five domains, using signalling answers to propose domain judgments and an overall rating.[1] Reviewers must identify the relevant outcome, comparison and analysis, interpret information across trial reports and supporting documents, and justify their answers. The work therefore involves both evidence interpretation and consistent rule application.</w:t>
      </w:r>
    </w:p>
    <w:p>
      <w:pPr>
        <w:pStyle w:val="BodyText"/>
      </w:pPr>
      <w:r>
        <w:t xml:space="preserve">RoB 2 reliability studies document disagreement and application difficulties; review-specific instructions and calibration were followed by improved agreement in one setting.[2,3] Work with the earlier Cochrane instrument also identified different interpretations of the same information across reviews.[4] These demands recur as evidence syntheses are updated. Riaz and colleagues describe a framework for automated, living evidence synthesis that integrates distinct review tasks with human oversight.[5] This provides a motivation to investigate assistance with appraisal, without assuming that automation reduces reviewer workload.</w:t>
      </w:r>
    </w:p>
    <w:p>
      <w:pPr>
        <w:pStyle w:val="BodyText"/>
      </w:pPr>
      <w:r>
        <w:t xml:space="preserve">Prior systems have made substantial parts of the assessment accessible to automation. RobotReviewer paired judgments with supporting sentences for the earlier instrument and evaluated text relevance separately from classification.[6] ROBOTO2 integrates document parsing, retrieved evidence, preliminary signalling answers and editable judgments; its evaluation also identified overly conservative and no-information responses despite available evidence.[7] RoBGuard combines question reformulation, multimodal document parsing and collaboration among model roles.[8] Structured RoB 2 prompting has been compared with human assessments,[9,10] and same-model comparisons of direct and constrained prompts have been studied with the earlier instrument.[11] These approaches establish useful capabilities, but a plausible label or authentic quotation does not establish appropriate evidence interpretation. Evaluation must distinguish evidence selection, signalling answers and rule application, and identify the reference against which agreement is measured.</w:t>
      </w:r>
    </w:p>
    <w:p>
      <w:pPr>
        <w:pStyle w:val="BodyText"/>
      </w:pPr>
      <w:r>
        <w:t xml:space="preserve">The Agentic Risk of Bias Inference Tool for Evidence Reviews (ARBITER) retains sources, selected evidence, signalling answers and decision traces for experienced evidence reviewers who retain responsibility for the assessment. The model interprets trial evidence; software derives proposed ratings from the recorded answers. We evaluated this complete workflow against same-model minimal prompting with identical supplied trial documents.</w:t>
      </w:r>
    </w:p>
    <w:bookmarkEnd w:id="16"/>
    <w:bookmarkStart w:id="17" w:name="objective-1"/>
    <w:p>
      <w:bookmarkStart w:id="81" w:name="loc_17"/>
      <w:pPr>
        <w:pStyle w:val="Heading2"/>
      </w:pPr>
      <w:r>
        <w:rPr>
          <w:b/>
        </w:rPr>
        <w:t>Objective</w:t>
      </w:r>
      <w:bookmarkEnd w:id="81"/>
    </w:p>
    <w:p>
      <w:pPr>
        <w:pStyle w:val="FirstParagraph"/>
      </w:pPr>
      <w:r>
        <w:t xml:space="preserve">We examined agreement with published review labels and independently recorded expert ratings, followed by blinded label choices where the workflows disagreed. We also evaluated domain and signalling-answer variation, rule conformance, source records and computational burden. These outcomes address distinct properties of the assessment rather than a single standard of correctness.</w:t>
      </w:r>
    </w:p>
    <w:bookmarkEnd w:id="17"/>
    <w:bookmarkEnd w:id="18"/>
    <w:bookmarkStart w:id="25" w:name="materials-and-methods-1"/>
    <w:p>
      <w:bookmarkStart w:id="83" w:name="loc_19"/>
      <w:pPr>
        <w:pStyle w:val="Heading1"/>
      </w:pPr>
      <w:r>
        <w:rPr>
          <w:b/>
        </w:rPr>
        <w:t>MATERIALS AND METHODS</w:t>
      </w:r>
      <w:bookmarkEnd w:id="83"/>
    </w:p>
    <w:bookmarkStart w:id="19" w:name="system-design"/>
    <w:p>
      <w:bookmarkStart w:id="84" w:name="loc_20"/>
      <w:pPr>
        <w:pStyle w:val="Heading2"/>
      </w:pPr>
      <w:r>
        <w:rPr>
          <w:b/>
        </w:rPr>
        <w:t>System design</w:t>
      </w:r>
      <w:bookmarkEnd w:id="84"/>
    </w:p>
    <w:p>
      <w:pPr>
        <w:pStyle w:val="FirstParagraph"/>
      </w:pPr>
      <w:r>
        <w:t xml:space="preserve">ARBITER separates interpretation of trial evidence from application of the RoB 2 decision rules (Figure 1). The model identifies the result to assess, examines the available documents and answers the signalling questions; software computes the domain ratings implied by those answers. A result-approval step allows an interactive reviewer to inspect the proposed target before domain assessment. In the automated benchmark, the harness accepted that proposal unchanged.</w:t>
      </w:r>
    </w:p>
    <w:p>
      <w:pPr>
        <w:pStyle w:val="BodyText"/>
      </w:pPr>
      <w:r>
        <w:t xml:space="preserve">Source documents are retained with cryptographic hashes identifying their contents. Extracted page text has a separate version identifier linking passages to the captured document and extraction. The model selects evidence through document-reading and search tools, using returned passage references, page and line ranges, or copied text that must match a source passage. Unmatched or ambiguous copied text is rejected. Software stores the selected source slice with its source, page and character offsets. This constrains fabricated quotation wording within the text evidence pathway; it does not establish that a passage is relevant, complete or appropriately interpreted. Document-extraction errors can persist.</w:t>
      </w:r>
    </w:p>
    <w:p>
      <w:pPr>
        <w:pStyle w:val="BodyText"/>
      </w:pPr>
      <w:r>
        <w:t xml:space="preserve">For material requiring visual interpretation, evidence records link a rendered source page and selected region to a model-written transcription. These links do not independently verify the transcription or interpretation. Each signalling answer records its evidential basis and justification, with provision for uncertainty and counterevidence. Software checks answer options, required question paths and evidence references before applying the decision algorithms.</w:t>
      </w:r>
    </w:p>
    <w:p>
      <w:pPr>
        <w:pStyle w:val="BodyText"/>
      </w:pPr>
      <w:r>
        <w:t xml:space="preserve">The algorithm-derived proposal and adopted domain rating are recorded separately. A departure requires a documented rationale and supporting evidence linked to the saved answers. Proposed and adopted ratings were checked separately in the evaluation. The exported HTML report and audit file retain evidence links, answers and decision traces for inspection. Runtime source-text matching, assessment-file verification and the study’s structural source-provenance audit are distinct checks; the latter did not independently re-extract quotations from original documents. None determines whether the evidence justifies the signalling answers.</w:t>
      </w:r>
    </w:p>
    <w:p>
      <w:pPr>
        <w:pStyle w:val="BodyText"/>
      </w:pPr>
      <w:r>
        <w:t xml:space="preserve">The AVATAR assessment illustrates the pathway for all-cause death after early surgery versus watchful waiting in asymptomatic severe aortic stenosis (Figure 2; complete trace in the supplement). The case illustrates the workflow rather than typical performance. Its stored documents did not establish a dated analysis plan for the assessed result.</w:t>
      </w:r>
    </w:p>
    <w:bookmarkEnd w:id="19"/>
    <w:bookmarkStart w:id="21" w:name="benchmark-and-assessment-arms"/>
    <w:p>
      <w:bookmarkStart w:id="90" w:name="loc_26"/>
      <w:pPr>
        <w:pStyle w:val="Heading2"/>
      </w:pPr>
      <w:r>
        <w:rPr>
          <w:b/>
        </w:rPr>
        <w:t>Benchmark and assessment arms</w:t>
      </w:r>
      <w:bookmarkEnd w:id="90"/>
    </w:p>
    <w:p>
      <w:pPr>
        <w:pStyle w:val="FirstParagraph"/>
      </w:pPr>
      <w:r>
        <w:t xml:space="preserve">We assembled a purposive benchmark spanning 15 medical specialties. The selection team reported searching Europe PMC for 2025–2026 meta-analyses of randomized trials, prioritizing journal standing and citation counts while requiring explicit RoB 2 use and extractable trial-level domain judgments. Search and ranking records were not recovered; the selected reviews are not verified as the highest-ranked or most-cited eligible candidates. The source set contained 105 trials from 16 reviews. Within reviews, trials were selected in table order, taking up to seven obtainable eligible trials and replacing unavailable reports with the next eligible trial; duplicate trials were removed. Three trials designated by the author as unsupported designs were excluded, leaving 102. Atwine’s stored design classification is disputed by the author; its specific unsupported subtype remains unverified. The supplementary benchmark table documents reviews, specialties and source availability.</w:t>
      </w:r>
    </w:p>
    <w:p>
      <w:pPr>
        <w:pStyle w:val="BodyText"/>
      </w:pPr>
      <w:r>
        <w:t xml:space="preserve">Candidate targets initially followed trial-primary outcomes. Before the reported runs, 43 of 105 targets were revised toward the results underlying the published review labels. Final prompts specified the assessment outcome, comparison, time point and numerical result as printed in the revised target ledger. Correspondence with published labels could still be partial, inferred, different or indeterminate; some labels covered several outcomes. Comparisons retained all domain cells; target uncertainty was considered qualitatively.</w:t>
      </w:r>
    </w:p>
    <w:p>
      <w:pPr>
        <w:pStyle w:val="BodyText"/>
      </w:pPr>
      <w:r>
        <w:t xml:space="preserve">Both arms received identical underlying trial evidence: articles, supplements, stored copies of registry records, protocols and statistical analysis plans available in the captured input set. Unassisted, the same-model minimal-prompt comparator, received copies of the registry records and acquired documents from the ARBITER run; these were not fetched anew. Availability varied by trial. The supplied De Waal registry record concerned another trial and did not establish information about the assessed result.</w:t>
      </w:r>
    </w:p>
    <w:p>
      <w:pPr>
        <w:pStyle w:val="BodyText"/>
      </w:pPr>
      <w:r>
        <w:t xml:space="preserve">Unassisted received the assessment task sentence and one fixed output-format sentence, without RoB 2 guidance. It could read and search local documents but had no access to ARBITER’s software service, assessment instructions or the web. ARBITER additionally received assessment instructions and guidance through an assessment skill, a packaged set of workflow instructions. The arms therefore shared trial evidence but differed in instructions and processing. The comparison evaluated the complete workflow and did not isolate the effects of guidance, software or computation. It also differed from the structured-prompt comparators used in several prior studies.[9,10,12,13]</w:t>
      </w:r>
    </w:p>
    <w:p>
      <w:pPr>
        <w:pStyle w:val="BodyText"/>
      </w:pPr>
      <w:r>
        <w:t xml:space="preserve">Both arms used</w:t>
      </w:r>
      <w:r>
        <w:t xml:space="preserve"> </w:t>
      </w:r>
      <w:r>
        <w:rPr>
          <w:rStyle w:val="VerbatimChar"/>
        </w:rPr>
        <w:t xml:space="preserve">claude-sonnet-5-5</w:t>
      </w:r>
      <w:r>
        <w:t xml:space="preserve">, medium effort, in Claude Code 2.1.278, with isolated settings and external connectors and memory disabled. ARBITER ran on 12 October 2026 and Unassisted on 14 October 2026, once per trial per arm. Identity of the immutable underlying model snapshot across the two dates was not established. eMethods identifies the evaluated software revision. The installable public release is ARBITER 1.0.0, commit</w:t>
      </w:r>
      <w:r>
        <w:t xml:space="preserve"> </w:t>
      </w:r>
      <w:hyperlink r:id="rId20">
        <w:r>
          <w:rPr>
            <w:rStyle w:val="Hyperlink"/>
          </w:rPr>
          <w:t xml:space="preserve">2f549ae</w:t>
        </w:r>
      </w:hyperlink>
      <w:r>
        <w:t xml:space="preserve">. The evaluated runner invoked</w:t>
      </w:r>
      <w:r>
        <w:t xml:space="preserve"> </w:t>
      </w:r>
      <w:r>
        <w:rPr>
          <w:rStyle w:val="VerbatimChar"/>
        </w:rPr>
        <w:t xml:space="preserve">/rob2-assess</w:t>
      </w:r>
      <w:r>
        <w:t xml:space="preserve">;</w:t>
      </w:r>
      <w:r>
        <w:t xml:space="preserve"> </w:t>
      </w:r>
      <w:r>
        <w:rPr>
          <w:rStyle w:val="VerbatimChar"/>
        </w:rPr>
        <w:t xml:space="preserve">/arbiter-assess</w:t>
      </w:r>
      <w:r>
        <w:t xml:space="preserve"> </w:t>
      </w:r>
      <w:r>
        <w:t xml:space="preserve">is the public command name. The retained release audit documents correspondence between the evaluated and public assessment commands, without establishing equivalence of the complete releases. The protocol allowed</w:t>
      </w:r>
      <w:r>
        <w:t xml:space="preserve"> </w:t>
      </w:r>
      <w:r>
        <w:t xml:space="preserve">“Continue.”</w:t>
      </w:r>
      <w:r>
        <w:t xml:space="preserve"> </w:t>
      </w:r>
      <w:r>
        <w:t xml:space="preserve">at most twice per phase without coaching. eMethods reproduces both prompt templates, the command invoking the ARBITER assessment skill, the Unassisted format instruction and a filled example. Recovered ARBITER</w:t>
      </w:r>
      <w:r>
        <w:t xml:space="preserve"> </w:t>
      </w:r>
      <w:r>
        <w:rPr>
          <w:rStyle w:val="VerbatimChar"/>
        </w:rPr>
        <w:t xml:space="preserve">eval/</w:t>
      </w:r>
      <w:r>
        <w:t xml:space="preserve"> </w:t>
      </w:r>
      <w:r>
        <w:t xml:space="preserve">records contain ten prostate-cancer trials and synthetic diagnostic cases used in development. The author reports that this benchmark was not used in development; the recovered records do not establish an exhaustive development-exposure history. [Pending: complete prompt and assessment-skill selection history and version-freeze documentation.]</w:t>
      </w:r>
    </w:p>
    <w:bookmarkEnd w:id="21"/>
    <w:bookmarkStart w:id="22" w:name="independent-expert-references"/>
    <w:p>
      <w:bookmarkStart w:id="96" w:name="loc_32"/>
      <w:pPr>
        <w:pStyle w:val="Heading2"/>
      </w:pPr>
      <w:r>
        <w:rPr>
          <w:b/>
        </w:rPr>
        <w:t>Independent expert references</w:t>
      </w:r>
      <w:bookmarkEnd w:id="96"/>
    </w:p>
    <w:p>
      <w:pPr>
        <w:pStyle w:val="FirstParagraph"/>
      </w:pPr>
      <w:r>
        <w:t xml:space="preserve">Two blinded experts, published researchers from BEACON Lab, assessed all 102 trials across the five domains. Each trial–domain pair constituted a cell. Each expert independently recorded and froze signalling answers and domain ratings before seeing any offered label. No AI was used for these judgments. Experts received the same trial materials, supplements and ClinicalTrials.gov records as the arms, the same task prompt specifying outcomes, contrasts and numerical anchors, and access to Cochrane RoB 2 guidance. [Pending: individual qualifications and RoB 2 experience, training/calibration and conventions for targets containing several outcomes.]</w:t>
      </w:r>
    </w:p>
    <w:p>
      <w:pPr>
        <w:pStyle w:val="BodyText"/>
      </w:pPr>
      <w:r>
        <w:t xml:space="preserve">Each expert then saw the published, Unassisted and ARBITER labels in an order randomized for each cell, without source identities or rationales, and chose the most defensible label. Each expert subsequently supplied a revised rating, which could differ from all offered labels, and recorded whether signalling answers were retained or changed. Independent ratings, label choices and revised ratings were analyzed separately. Blinded adjudication of discordant data-extraction items supplied a design precedent.[14] eMethods summarizes the assessment sequence; the completed assessment workbooks are available in the study repository. [Pending: original blank assessment form.]</w:t>
      </w:r>
    </w:p>
    <w:bookmarkEnd w:id="22"/>
    <w:bookmarkStart w:id="23" w:name="outcomes"/>
    <w:p>
      <w:bookmarkStart w:id="99" w:name="loc_35"/>
      <w:pPr>
        <w:pStyle w:val="Heading2"/>
      </w:pPr>
      <w:r>
        <w:rPr>
          <w:b/>
        </w:rPr>
        <w:t>Outcomes</w:t>
      </w:r>
      <w:bookmarkEnd w:id="99"/>
    </w:p>
    <w:p>
      <w:pPr>
        <w:pStyle w:val="FirstParagraph"/>
      </w:pPr>
      <w:r>
        <w:t xml:space="preserve">We evaluated agreement with published review labels (Published), independent expert ratings and subsequent blinded label choices, followed by domain/answer detail, structural checks and computation. This reporting order was adopted after analysis; it does not imply prospective outcome specification.</w:t>
      </w:r>
    </w:p>
    <w:p>
      <w:pPr>
        <w:pStyle w:val="BodyText"/>
      </w:pPr>
      <w:r>
        <w:t xml:space="preserve">Published-label comparisons used exact agreement and paired percentage-point differences between arms across all 510 cells, followed by linearly weighted Cohen’s κ, sensitivity for Some concerns or High, and specificity, with Gwet’s AC2 supplementary. An All-Low rule described label prevalence; its κ was suppressed because predictions lacked variance. Missing predictions counted as disagreement. Published labels were a review-derived reference, distinct from the independent expert ratings.</w:t>
      </w:r>
    </w:p>
    <w:p>
      <w:pPr>
        <w:pStyle w:val="BodyText"/>
      </w:pPr>
      <w:r>
        <w:t xml:space="preserve">Each source was compared separately with each expert’s independent domain ratings using exact agreement, paired percentage-point differences between arms and linearly weighted κ. Reference ratings were read directly from the experts’ assessment records. Supporting analyses included expert-to-expert agreement, unweighted κ, confusion matrices, expert means and restriction to cells where independent experts agreed.</w:t>
      </w:r>
    </w:p>
    <w:p>
      <w:pPr>
        <w:pStyle w:val="BodyText"/>
      </w:pPr>
      <w:r>
        <w:t xml:space="preserve">The conditional blinded-label outcome was the proportion of agreed expert choices matching ARBITER among cells where the arms’ ratings differed. The denominator included only cells in which both experts chose the same label; the numerator included those where that label matched ARBITER. Credit followed label equality: every source matching the chosen label received credit, and neither arm received credit if neither matched. Cells with identical labels from all sources provided no information about choice between sources. Sensitivities used each expert’s choices across all arm disagreements and counted split choices as ARBITER losses without assigning Unassisted wins. This measures conditional label matching, not preference for a system’s reasoning or workflow.</w:t>
      </w:r>
    </w:p>
    <w:p>
      <w:pPr>
        <w:pStyle w:val="BodyText"/>
      </w:pPr>
      <w:r>
        <w:t xml:space="preserve">Signalling-answer agreement distinguished five levels: yes, probably yes, no, probably no and no information. Collapsed coding combined definite and probable affirmative answers and combined definite and probable negative answers, leaving no information separate. Answers were matched by trial, domain, question and component. A component was an explicitly named part of an answer, such as a separate answer for a particular outcome; an undivided answer was treated as one component. Answers for different named components were not pooled. Missing, inactive, not applicable, unmatched and unresolved answers were excluded; paired contrasts required evaluable answers in both arms. These comparisons assessed signalling answers separately from the recorded domain ratings.</w:t>
      </w:r>
    </w:p>
    <w:p>
      <w:pPr>
        <w:pStyle w:val="BodyText"/>
      </w:pPr>
      <w:r>
        <w:t xml:space="preserve">Process outcomes assessed algorithm conformance, record completeness and source provenance. We applied the official RoB 2 algorithms to each arm’s own answers, using effect of assignment for deviations from intended interventions.[1] Ratings that contradicted their answers or omitted required questions constituted rule breaks; absent ratings and answer sets were unevaluable. A sensitivity analysis recursively resolved invalid required answers as negative or no information. Overall checks permitted escalation when multiple domains had Some concerns. Evidence coverage counted required active answers citing a passage or image. Quotation checks assessed whether evidence records identified the captured source and its location; audit-file checks assessed the integrity of the retained assessment files. These structural checks did not assess whether the evidence justified the answer. The algorithm determines proposed ratings; adopted ratings were checked separately because documented overrides were permitted.</w:t>
      </w:r>
    </w:p>
    <w:p>
      <w:pPr>
        <w:pStyle w:val="BodyText"/>
      </w:pPr>
      <w:r>
        <w:t xml:space="preserve">Computational outcomes were runtime, summed across the elapsed durations of the model’s turns, and application programming interface (API) list-price equivalents reconstructed from recorded token counts and fixed provider rates. The runs used a subscription, so these dollar estimates were not expenditure. eMethods details the treatment of cached inputs and additional model calls.</w:t>
      </w:r>
    </w:p>
    <w:p>
      <w:pPr>
        <w:pStyle w:val="BodyText"/>
      </w:pPr>
      <w:r>
        <w:t xml:space="preserve">Exploratory analyses examined derived Overall ratings, severity and direction of disagreement, and rules-only recomputation. Derived Overall took the worst independent domain rating without optional escalation for multiple Some concerns. It summarized the five domains and was not an independent sixth domain. Expert-reference analyses used all 102 trials; Published Overall comparisons used only the 81 trials with observed labels, excluding 21 without labels. Directional analyses partitioned ratings stricter or more lenient than Published into expert matches to the arm, Published or neither. Rules-only recomputation replaced Unassisted ratings that contradicted their answers while retaining invalid answer sequences and missing ratings. Original disagreement populations remained fixed; new ties could credit both arms. Binary expert comparisons and severity strata were exploratory. Label choices across all disputed cells and revised ratings were descriptive because offered labels could anchor responses.</w:t>
      </w:r>
    </w:p>
    <w:bookmarkEnd w:id="23"/>
    <w:bookmarkStart w:id="24" w:name="statistical-analysis"/>
    <w:p>
      <w:bookmarkStart w:id="108" w:name="loc_44"/>
      <w:pPr>
        <w:pStyle w:val="Heading2"/>
      </w:pPr>
      <w:r>
        <w:rPr>
          <w:b/>
        </w:rPr>
        <w:t>Statistical analysis</w:t>
      </w:r>
      <w:bookmarkEnd w:id="108"/>
    </w:p>
    <w:p>
      <w:pPr>
        <w:pStyle w:val="FirstParagraph"/>
      </w:pPr>
      <w:r>
        <w:t xml:space="preserve">We estimated uncertainty with 10,000 stratified trial-cluster bootstrap resamples, seed 20261018. Trials were sampled with replacement within each of the 16 fixed reviews, retaining each review’s trial count and carrying both arms and all domain ratings together. Paired contrasts shared resampling weights. Percentile 95% CIs quantify trial variation conditional on these reviews, two experts and observed model runs; they do not quantify variation across new reviews, experts or repeated runs. Expert means averaged expert-specific estimates within each shared resample. No</w:t>
      </w:r>
      <w:r>
        <w:t xml:space="preserve"> </w:t>
      </w:r>
      <w:r>
        <w:rPr>
          <w:i/>
          <w:iCs/>
        </w:rPr>
        <w:t xml:space="preserve">P</w:t>
      </w:r>
      <w:r>
        <w:t xml:space="preserve"> </w:t>
      </w:r>
      <w:r>
        <w:t>values or multiplicity adjustments were used. Reporting was guided by TRIPOD-LLM and GRRAS, with an accompanying item map and author-completion fields.⁠[15,16]</w:t>
      </w:r>
    </w:p>
    <w:bookmarkEnd w:id="24"/>
    <w:bookmarkEnd w:id="25"/>
    <w:bookmarkStart w:id="26" w:name="results-1"/>
    <w:p>
      <w:bookmarkStart w:id="110" w:name="loc_46"/>
      <w:pPr>
        <w:pStyle w:val="Heading1"/>
      </w:pPr>
      <w:r>
        <w:rPr>
          <w:b/>
        </w:rPr>
        <w:t>RESULTS</w:t>
      </w:r>
      <w:bookmarkEnd w:id="110"/>
    </w:p>
    <w:p>
      <w:pPr>
        <w:pStyle w:val="FirstParagraph"/>
        <w:keepNext w:val="0"/>
        <w:keepLines/>
      </w:pPr>
      <w:r>
        <w:t xml:space="preserve">The 102 included trials yielded 510 trial–domain cells, all independently assessed by both experts (Figure 3; Table 1). Published labels were Low in 427/510 cells (83.7%), compared with 277/510 (54.3%) for Expert 1 and 346/510 (67.8%) for Expert 2. An all-Low rule matched 83.7% of Published domain labels. Against Published across all 510 cells, ARBITER matched 386/510 (75.7%) and Unassisted 395/510 (77.5%), a paired difference of −1.8 points (95% CI, −5.1 to 1.6).</w:t>
      </w:r>
    </w:p>
    <w:p>
      <w:bookmarkStart w:id="112" w:name="loc_48"/>
      <w:pPr>
        <w:pStyle w:val="Heading2"/>
        <w:keepNext/>
        <w:pageBreakBefore w:val="0"/>
        <w:spacing w:line="240" w:lineRule="auto" w:after="80"/>
      </w:pPr>
      <w:r>
        <w:rPr>
          <w:b/>
        </w:rPr>
        <w:t>Table 1. Benchmark and reference context</w:t>
      </w:r>
      <w:bookmarkEnd w:id="112"/>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Characteristic</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Value</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102</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Meta-analyses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Specialties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15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protocol</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26/102 (25.5%)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registry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73/102 (71.6%)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SAP</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22/102 (21.6%)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Trials with supplement</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69/102 (67.6%)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Published</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427/510 (83.7%); Some concerns: 69/510 (13.5%); High: 14/510 (2.7%)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Expert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277/510 (54.3%); Some concerns: 163/510 (32.0%); High: 70/510 (13.7%)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D1–D5: Expert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Low: 346/510 (67.8%); Some concerns: 131/510 (25.7%); High: 33/510 (6.5%)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Reference categories are Low, Some concerns and High; each reference contributes 510 domain cells. Document counts are trials with each role recorded in the source inventory among 102 trials; roles can overlap. SAP, statistical analysis plan. Detailed distributions for all sources and derived Overall appear in the supplement.</w:t>
            </w:r>
          </w:p>
        </w:tc>
      </w:tr>
    </w:tbl>
    <w:p>
      <w:pPr>
        <w:pStyle w:val="BodyText"/>
      </w:pPr>
      <w:r>
        <w:t xml:space="preserve">Across the full cohort, ARBITER agreed more often with both independent experts (Figure 4). It matched Expert 1 in 371/510 cells (72.7%) versus 332/510 (65.1%) for Unassisted, a paired gain of 7.6 percentage points (95% CI, 5.1–10.2). Against Expert 2, agreement was 433/510 (84.9%) versus 400/510 (78.4%), a gain of 6.5 points (3.5–9.4). The experts agreed in 388/510 cells (76.1%); Published labels matched the experts in 301/510 and 362/510 cells. Weighted κ values were 0.51 and 0.69 for ARBITER, compared with 0.35 and 0.53 for Unassisted; expert-to-expert weighted κ was 0.59.</w:t>
      </w:r>
    </w:p>
    <w:p>
      <w:pPr>
        <w:pStyle w:val="BodyText"/>
        <w:keepNext w:val="0"/>
        <w:keepLines/>
      </w:pPr>
      <w:r>
        <w:t xml:space="preserve">The arms’ ratings differed in 80 cells; the experts chose the same label in 60 and split in 20. The agreed label matched ARBITER in 53/60 cells (88%; 95% CI, 80–96%) and Unassisted in 7/60 (12%); Table 2 summarizes these choices. Across all 80 disagreements, the label chosen by Expert 1 matched ARBITER in 63/80 (79%), and that chosen by Expert 2 matched ARBITER in 61/80 (76%). Counting every split choice against ARBITER gave 53/80 (66%).</w:t>
      </w:r>
    </w:p>
    <w:p>
      <w:bookmarkStart w:id="115" w:name="loc_51"/>
      <w:pPr>
        <w:pStyle w:val="Heading2"/>
        <w:keepNext/>
        <w:pageBreakBefore w:val="0"/>
        <w:spacing w:line="240" w:lineRule="auto" w:after="80"/>
      </w:pPr>
      <w:r>
        <w:rPr>
          <w:b/>
        </w:rPr>
        <w:t>Table 2. Conditional blinded-label choices and sensitivities</w:t>
      </w:r>
      <w:bookmarkEnd w:id="115"/>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Population</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 No./total (%) (95% CI)</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Agreed choices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53/60 (88%; 80–96)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Expert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63/80 (79%; 70–87)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Expert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61/80 (76%; 68–85)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All splits counted against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53/80 (66%; 58–75)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Conditional blinded-label choice evaluation includes 80 arm-discordant cells and the 60 for which the experts made an agreed choice; 20 choices split. Expert-specific sensitivities use all 80. The final row counts all 20 splits against ARBITER by assumption, without assigning Unassisted wins. Expert 1 chose neither arm in 4/80 cells; this is distinct from the split-loss assumption. CI, 95% confidence interval; 10,000 percentile bootstrap replicates, trials resampled within meta-analysis; seed 20261018.</w:t>
            </w:r>
          </w:p>
        </w:tc>
      </w:tr>
    </w:tbl>
    <w:p>
      <w:pPr>
        <w:pStyle w:val="BodyText"/>
      </w:pPr>
      <w:r>
        <w:t xml:space="preserve">Agreement gains varied by domain, alongside disagreement between experts. Selection of the reported result (D5) had the largest observed gains: 19.6 points (95% CI, 11.8–27.5) and 11.8 (2.9–20.6) against Experts 1 and 2. For missing outcome data (D3), ARBITER matched 43/102 ratings from Expert 1 (42.2%) and 80/102 from Expert 2 (78.4%); the experts agreed in 54/102 cells.</w:t>
      </w:r>
    </w:p>
    <w:p>
      <w:pPr>
        <w:pStyle w:val="BodyText"/>
      </w:pPr>
      <w:r>
        <w:t xml:space="preserve">Signalling-answer agreement depended on whether probable and definite answers were distinguished (Figure 5). In D3 against Expert 1, the five-level paired ARBITER minus Unassisted difference was −10.3 points (95% CI, −17.2 to −3.2), whereas the collapsed difference was +8.5 (3.5–13.7), both using 165 paired components. In D5, collapsed gains were +11.3 points against Expert 1, using 301 paired components, and +3.7 (−0.3 to 7.4) against Expert 2, using 300. The supplement reports complete question-level results and source-specific absolute rates, whose eligible denominators may differ from those of the paired contrasts. Exploratory rules-only recomputation changed 26 Unassisted labels while retaining their recorded answers, invalid answer sequences and missingness.</w:t>
      </w:r>
    </w:p>
    <w:p>
      <w:pPr>
        <w:pStyle w:val="BodyText"/>
        <w:keepNext w:val="0"/>
        <w:keepLines/>
      </w:pPr>
      <w:r>
        <w:t xml:space="preserve">All 510 adopted ARBITER domain outputs conformed to the algorithms, with no recorded domain overrides (Table 3). Proposed ratings are determined algorithmically; the absence of overrides and conformance of adopted ratings were observations in this benchmark. Unassisted had rule breaks in 65/509 evaluable domain outputs: 26 contradictory ratings and 39 required-question omissions; one cell was unevaluable. All 1538 active required answers cited a passage or image. All 1407/1407 text spans and 14 image records passed source-provenance checks, and all 102 exported assessment records passed completeness and consistency checks. These audits counted different objects and did not establish whether the cited evidence supported the answers.</w:t>
      </w:r>
    </w:p>
    <w:p>
      <w:bookmarkStart w:id="119" w:name="loc_55"/>
      <w:pPr>
        <w:pStyle w:val="Heading2"/>
        <w:keepNext/>
        <w:pageBreakBefore w:val="0"/>
        <w:spacing w:line="240" w:lineRule="auto" w:after="80"/>
      </w:pPr>
      <w:r>
        <w:rPr>
          <w:b/>
        </w:rPr>
        <w:t>Table 3. Process checks and computational resources</w:t>
      </w:r>
      <w:bookmarkEnd w:id="11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817"/>
        <w:gridCol w:w="1587"/>
        <w:gridCol w:w="2098"/>
        <w:gridCol w:w="2362"/>
      </w:tblGrid>
      <w:tr>
        <w:trPr>
          <w:cantSplit/>
          <w:tblHeader/>
        </w:trPr>
        <w:tc>
          <w:tcPr>
            <w:tcW w:type="dxa" w:w="381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start"/>
            </w:pPr>
            <w:r>
              <w:rPr>
                <w:rFonts w:ascii="Arial" w:hAnsi="Arial"/>
                <w:sz w:val="20"/>
                <w:b/>
              </w:rPr>
              <w:t xml:space="default">Measure</w:t>
            </w:r>
          </w:p>
        </w:tc>
        <w:tc>
          <w:tcPr>
            <w:tcW w:type="dxa" w:w="1587"/>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ARBITER</w:t>
            </w:r>
          </w:p>
        </w:tc>
        <w:tc>
          <w:tcPr>
            <w:tcW w:type="dxa" w:w="2098"/>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Unassisted</w:t>
            </w:r>
          </w:p>
        </w:tc>
        <w:tc>
          <w:tcPr>
            <w:tcW w:type="dxa" w:w="2362"/>
            <w:tcMar>
              <w:top w:type="dxa" w:w="35"/>
              <w:bottom w:type="dxa" w:w="35"/>
              <w:start w:type="dxa" w:w="70"/>
              <w:end w:type="dxa" w:w="70"/>
            </w:tcMar>
            <w:tcBorders>
              <w:top w:val="single" w:sz="6" w:color="666666"/>
              <w:bottom w:val="single" w:sz="6" w:color="666666"/>
              <w:start w:val="nil" w:sz="0" w:color="666666"/>
              <w:end w:val="nil" w:sz="0" w:color="666666"/>
            </w:tcBorders>
          </w:tcPr>
          <w:p>
            <w:pPr>
              <w:keepNext/>
              <w:spacing w:before="0" w:after="0" w:line="240" w:lineRule="auto"/>
              <w:jc w:val="end"/>
            </w:pPr>
            <w:r>
              <w:rPr>
                <w:rFonts w:ascii="Arial" w:hAnsi="Arial"/>
                <w:sz w:val="20"/>
                <w:b/>
              </w:rPr>
              <w:t xml:space="default">Paired mean difference (95% CI)</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A. Rule conformance</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Domain outputs reproduced from proposals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510/510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Rating contradicts its own answers</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26/509 (5.1%; 3.3–6.9)</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Required question skipped</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39/509 (7.7%; 5.7–10.0)</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Any rule break</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 by design</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65/509 (12.8%; 10.0–15.6)</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B. Structural record checks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Answers citing ≥1 passage or image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1,538/1,538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Quoted text linked to its source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1,407/1,407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90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Image regions linked to their page</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14/14 (100%)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Audit file passes the independent verifier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102/102 (100.0%)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Not available</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w:t>
            </w:r>
          </w:p>
        </w:tc>
      </w:tr>
      <w:tr>
        <w:trPr>
          <w:cantSplit/>
        </w:trPr>
        <w:tc>
          <w:tcPr>
            <w:gridSpan w:val="4"/>
            <w:tcW w:type="dxa" w:w="9864"/>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keepNext/>
              <w:spacing w:before="0" w:after="0" w:line="240" w:lineRule="auto"/>
            </w:pPr>
            <w:r>
              <w:rPr>
                <w:rFonts w:ascii="Arial" w:hAnsi="Arial"/>
                <w:sz w:val="20"/>
                <w:b/>
              </w:rPr>
              <w:t xml:space="default">C. Computational resources</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Runtime (minutes/trial),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7.6 (6.1–10.5)</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0.5 (0.4–0.5)</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11.0 (8.4–14.1)</w:t>
            </w:r>
          </w:p>
        </w:tc>
      </w:tr>
      <w:tr>
        <w:trPr>
          <w:cantSplit/>
        </w:trPr>
        <w:tc>
          <w:tcPr>
            <w:tcW w:type="dxa" w:w="381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start"/>
            </w:pPr>
            <w:r>
              <w:rPr>
                <w:rFonts w:ascii="Arial" w:hAnsi="Arial"/>
                <w:sz w:val="20"/>
              </w:rPr>
              <w:t xml:space="default">API list-price equivalent (US$/trial), median (IQR)</w:t>
            </w:r>
          </w:p>
        </w:tc>
        <w:tc>
          <w:tcPr>
            <w:tcW w:type="dxa" w:w="1587"/>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3.78 (3.46–4.10)</w:t>
            </w:r>
          </w:p>
        </w:tc>
        <w:tc>
          <w:tcPr>
            <w:tcW w:type="dxa" w:w="2098"/>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0.09 (0.07–0.13)</w:t>
            </w:r>
          </w:p>
        </w:tc>
        <w:tc>
          <w:tcPr>
            <w:tcW w:type="dxa" w:w="2362"/>
            <w:tcMar>
              <w:top w:type="dxa" w:w="35"/>
              <w:bottom w:type="dxa" w:w="35"/>
              <w:start w:type="dxa" w:w="70"/>
              <w:end w:type="dxa" w:w="70"/>
            </w:tcMar>
            <w:tcBorders>
              <w:top w:val="nil" w:sz="0" w:color="666666"/>
              <w:bottom w:val="nil" w:sz="0" w:color="666666"/>
              <w:start w:val="nil" w:sz="0" w:color="666666"/>
              <w:end w:val="nil" w:sz="0" w:color="666666"/>
            </w:tcBorders>
          </w:tcPr>
          <w:p>
            <w:pPr>
              <w:keepNext/>
              <w:spacing w:before="0" w:after="0" w:line="240" w:lineRule="auto"/>
              <w:jc w:val="end"/>
            </w:pPr>
            <w:r>
              <w:rPr>
                <w:rFonts w:ascii="Arial" w:hAnsi="Arial"/>
                <w:sz w:val="20"/>
              </w:rPr>
              <w:t xml:space="default">3.68 (3.61–3.75)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keepNext w:val="0"/>
              <w:spacing w:before="0" w:after="0" w:line="240" w:lineRule="auto"/>
            </w:pPr>
            <w:r>
              <w:rPr>
                <w:rFonts w:ascii="Arial" w:hAnsi="Arial"/>
                <w:sz w:val="20"/>
              </w:rPr>
              <w:t xml:space="default">Unassisted rule-break cells show No./total (%; 95% CI); CI bounds are percentages. Domain rules use evaluable ratings (ARBITER 510; Unassisted 509); one Unassisted cell is unevaluable. Evidence denominators count active answers or distinct evidence records as indicated; verifier denominator is 102 bundles. ARBITER has no recorded domain overrides; one Overall escalation is permitted. Evidence checks establish quotation occurrence and structural binding, without assessing answer support. Runtime and API list-price equivalents use 102 paired trials; source summaries are median (IQR), contrasts are paired mean differences. Cost is a frozen-rate equivalent, not expenditure. — means not applicable; Not available means not measured. CI, 95% confidence interval; 10,000 percentile bootstrap replicates, trials resampled within meta-analysis; seed 20261018.</w:t>
            </w:r>
          </w:p>
        </w:tc>
      </w:tr>
    </w:tbl>
    <w:p>
      <w:pPr>
        <w:pStyle w:val="BodyText"/>
      </w:pPr>
      <w:r>
        <w:t xml:space="preserve">ARBITER required more computation. Median (IQR) runtime was 7.6 (6.1–10.5) versus 0.5 (0.4–0.5) minutes per trial; the paired mean difference was 11.0 minutes (95% CI, 8.4–14.1). Median (IQR) API list-price equivalents were US$3.78 (3.46–4.10) versus US$0.09 (0.07–0.13), with a paired mean difference of US$3.68 (3.61–3.75).</w:t>
      </w:r>
    </w:p>
    <w:bookmarkEnd w:id="26"/>
    <w:bookmarkStart w:id="28" w:name="discussion-1"/>
    <w:p>
      <w:bookmarkStart w:id="121" w:name="loc_57"/>
      <w:pPr>
        <w:pStyle w:val="Heading1"/>
      </w:pPr>
      <w:r>
        <w:rPr>
          <w:b/>
        </w:rPr>
        <w:t>DISCUSSION</w:t>
      </w:r>
      <w:bookmarkEnd w:id="121"/>
    </w:p>
    <w:p>
      <w:pPr>
        <w:pStyle w:val="FirstParagraph"/>
      </w:pPr>
      <w:r>
        <w:t xml:space="preserve">Agreement depended on the reference: ARBITER did not show a clear advantage against published review labels, but agreed more often with each independent expert than Unassisted across the 510 trial–domain assessments. Independent ratings were frozen before exposure to offered labels. The blinded-choice result concerned a selected subset: among 80 arm-discordant assessments, experts agreed on 60 choices and split on 20; 53/60 agreed choices matched ARBITER (88%; 95% CI, 80–96%). Labels were shown without source identities or rationales, so this conditional match does not establish endorsement of ARBITER’s reasoning. The broader comparison comes from the independently recorded ratings.</w:t>
      </w:r>
    </w:p>
    <w:p>
      <w:pPr>
        <w:pStyle w:val="BodyText"/>
      </w:pPr>
      <w:r>
        <w:t xml:space="preserve">That agreement advantage was not uniform. Selection of the reported result (D5) had the largest observed domain-rating gains, whereas missing outcome data (D3) showed marked reference dependence. For D3 signalling answers against Expert 1, the paired ARBITER minus Unassisted difference was unfavorable with five-level coding, −10.3 percentage points (95% CI, −17.2 to −3.2), and favorable with collapsed coding, +8.5 (3.5–13.7). Combining probable with definite answers changes the distinctions being assessed; the favorable collapsed estimate does not remove the adverse five-level finding. The D5 collapsed contrast against Expert 2 was also smaller, +3.7 points (−0.3 to 7.4). Neither pattern identifies why the experts or workflows differed, and intervals for individual estimates do not test differences between domains.</w:t>
      </w:r>
    </w:p>
    <w:p>
      <w:pPr>
        <w:pStyle w:val="BodyText"/>
      </w:pPr>
      <w:r>
        <w:t xml:space="preserve">The reference also changed the overall interpretation. Against Published labels, the paired ARBITER minus Unassisted difference was −1.8 percentage points (95% CI, −5.1 to 1.6), compatible with either direction. Published labels were predominantly Low, and some covered broader, inferred or different assessment targets. These differences qualify their use as a reference without establishing the cause of disagreement. Huang and Gandhi likewise evaluated model assessments against both review-derived and fresh human references,[9,10] while Nyrhi used published assessments in separate RoB 1 and RoB 2 corpora.[17] Those designs do not supply interchangeable standards. Our experts received the same trial materials and task prompts as the arms, but their own disagreement, especially in D3, precludes treating fresh ratings as error-free truth.</w:t>
      </w:r>
    </w:p>
    <w:p>
      <w:pPr>
        <w:pStyle w:val="BodyText"/>
      </w:pPr>
      <w:r>
        <w:t xml:space="preserve">The retained record allows these interpretations to be examined. In the illustrative AVATAR assessment, stored documents did not establish a dated analysis plan for the assessed result; the answers and cited passages preserve the basis for that judgment. ARBITER binds text quotations and image regions to stored sources and records their locations. Software computes proposed ratings, while a different adopted rating requires evidence and a rationale. All 510 adopted domain outputs conformed to the executable rules, and no domain overrides occurred. This observed conformance concerns the transition from recorded answers to ratings. It leaves the appropriateness of those answers open to assessment.</w:t>
      </w:r>
    </w:p>
    <w:p>
      <w:pPr>
        <w:pStyle w:val="BodyText"/>
      </w:pPr>
      <w:r>
        <w:t xml:space="preserve">Conformance is already an explicit evaluation target in related work. Choi and colleagues examined expert agreement, rule conformance and repeated outputs in a single-trial pilot.[18] Their questions overlap with ours, but their repeated single-trial design and this multi-trial, single-run comparison address different sources of variation. LogiMed-RoB audits hierarchical consistency in RoB 2 assessments.[19] ARBITER’s source checks assess a different property: they establish source binding and record integrity without determining whether passages justify answers; image descriptions remained model-written. Liang’s RoB 2 retrieve-then-verify study addresses evidence support using a judge model, rather than independent human adjudication.[20] Independent assessment of each passage-to-answer relation, including image-derived interpretations, remains necessary to evaluate that property in ARBITER.</w:t>
      </w:r>
    </w:p>
    <w:p>
      <w:pPr>
        <w:pStyle w:val="BodyText"/>
      </w:pPr>
      <w:r>
        <w:t xml:space="preserve">The observed differences belong to the complete workflows. Identical supplied trial documents and a common reported model identifier and configuration make the comparison informative, but ARBITER also received additional guidance, tools and computation. The study cannot attribute its agreement advantage to rule enforcement, evidence recording or another component. Rules-only recomputation describes internal consistency but cannot recover those component effects. Minimal prompting also does not represent the structured alternatives already evaluated.[7,9,10,11] RoB2-Evaluator, described in a preprint, is another rule-constrained RoB 2 implementation.[21] ARBITER required greater computation: median runtime was 7.6 versus 0.5 minutes per trial, with higher API list-price equivalents. These quantities describe computational burden; the subscription-based runs did not incur those reconstructed list-price amounts as expenditure.</w:t>
      </w:r>
    </w:p>
    <w:p>
      <w:pPr>
        <w:pStyle w:val="BodyText"/>
      </w:pPr>
      <w:r>
        <w:t xml:space="preserve">Generalization is bounded by purposive review selection, ordered and availability-dependent trial selection, 16 fixed reviews, two experts and one run per trial per arm. Bootstrap intervals describe trial variation within those reviews, conditional on the observed experts and runs. They do not quantify variation across new reviews, assessors or repeated runs. Prior model exposure to reports is unknown. Offered labels could influence forced choices and revised ratings, despite source blinding. Results pertain to the evaluated software revision; documented assessment-command correspondence does not establish equivalence with the complete public release.</w:t>
      </w:r>
    </w:p>
    <w:p>
      <w:pPr>
        <w:pStyle w:val="BodyText"/>
      </w:pPr>
      <w:r>
        <w:t xml:space="preserve">Reviewer use requires a separate evaluation. Soboczenski and colleagues randomized manual and RobotReviewer-assisted tasks using four domains of the earlier instrument, directly observing assessment time and reviewer behavior.[22] Jardim’s study in ongoing reviews found mixed acceptability and lacked a manual-only time comparison.[23] These studies show why output agreement, checking time and adoption merit separate outcomes. They do not establish benefit for ARBITER. A reviewer study should examine whether users detect unsupported interpretations, how long verification takes and how suggestions affect their final judgments, without treating acceptance or correction rates as semantic validation. ARBITER’s computational runtime cannot answer those questions.</w:t>
      </w:r>
    </w:p>
    <w:bookmarkStart w:id="27" w:name="conclusion-1"/>
    <w:p>
      <w:bookmarkStart w:id="130" w:name="loc_66"/>
      <w:pPr>
        <w:pStyle w:val="Heading2"/>
      </w:pPr>
      <w:r>
        <w:rPr>
          <w:b/>
        </w:rPr>
        <w:t>Conclusion</w:t>
      </w:r>
      <w:bookmarkEnd w:id="130"/>
    </w:p>
    <w:p>
      <w:pPr>
        <w:pStyle w:val="FirstParagraph"/>
      </w:pPr>
      <w:r>
        <w:t xml:space="preserve">ARBITER preserves the pathway from supplied sources through signalling answers to RoB 2 rating decisions. Its complete workflow agreed more often with both independent experts than same-model minimal prompting, with domain and reference dependence. The retained record supports inspection; evidence support and benefit during reviewer use remain to be evaluated.</w:t>
      </w:r>
    </w:p>
    <w:bookmarkEnd w:id="27"/>
    <w:bookmarkEnd w:id="28"/>
    <w:bookmarkStart w:id="38" w:name="back-matter"/>
    <w:p>
      <w:bookmarkStart w:id="132" w:name="loc_68"/>
      <w:pPr>
        <w:pStyle w:val="Heading1"/>
      </w:pPr>
      <w:r>
        <w:rPr>
          <w:b/>
        </w:rPr>
        <w:t>BACK MATTER</w:t>
      </w:r>
      <w:bookmarkEnd w:id="132"/>
    </w:p>
    <w:bookmarkStart w:id="29" w:name="acknowledgments-and-ai-use"/>
    <w:p>
      <w:bookmarkStart w:id="133" w:name="loc_69"/>
      <w:pPr>
        <w:pStyle w:val="Heading2"/>
      </w:pPr>
      <w:r>
        <w:rPr>
          <w:b/>
        </w:rPr>
        <w:t>Acknowledgments and AI use</w:t>
      </w:r>
      <w:bookmarkEnd w:id="133"/>
    </w:p>
    <w:p>
      <w:pPr>
        <w:pStyle w:val="FirstParagraph"/>
      </w:pPr>
      <w:r>
        <w:t xml:space="preserve">[Non-author contributors and acknowledgments]. OpenAI GPT-6-Astra, GPT-6.1-Sol and GPT-6-Luna, accessed through T3 Code, assisted literature research, drafting and editorial checks in this revision. Final author review, approval and accountability remain pending; any AI assistance before this revision remains to be confirmed. [Author to verify the complete disclosure, including any AI use in code, data processing or figures, and provide matching cover-letter disclosure]. The expert assessments and forced-choice adjudication used no AI.</w:t>
      </w:r>
    </w:p>
    <w:bookmarkEnd w:id="29"/>
    <w:bookmarkStart w:id="30" w:name="funding"/>
    <w:p>
      <w:bookmarkStart w:id="135" w:name="loc_71"/>
      <w:pPr>
        <w:pStyle w:val="Heading2"/>
      </w:pPr>
      <w:r>
        <w:rPr>
          <w:b/>
        </w:rPr>
        <w:t>Funding</w:t>
      </w:r>
      <w:bookmarkEnd w:id="135"/>
    </w:p>
    <w:p>
      <w:pPr>
        <w:pStyle w:val="FirstParagraph"/>
      </w:pPr>
      <w:r>
        <w:t xml:space="preserve">[Funding sources, grant identifiers and funder role, or an explicit statement of no funding].</w:t>
      </w:r>
    </w:p>
    <w:bookmarkEnd w:id="30"/>
    <w:bookmarkStart w:id="31" w:name="competing-interests"/>
    <w:p>
      <w:bookmarkStart w:id="137" w:name="loc_73"/>
      <w:pPr>
        <w:pStyle w:val="Heading2"/>
      </w:pPr>
      <w:r>
        <w:rPr>
          <w:b/>
        </w:rPr>
        <w:t>Competing interests</w:t>
      </w:r>
      <w:bookmarkEnd w:id="137"/>
    </w:p>
    <w:p>
      <w:pPr>
        <w:pStyle w:val="FirstParagraph"/>
      </w:pPr>
      <w:r>
        <w:t xml:space="preserve">[Author-specific competing interests, including relevant relationships to ARBITER, or an explicit declaration of none].</w:t>
      </w:r>
    </w:p>
    <w:bookmarkEnd w:id="31"/>
    <w:bookmarkStart w:id="32" w:name="author-contributions"/>
    <w:p>
      <w:bookmarkStart w:id="139" w:name="loc_75"/>
      <w:pPr>
        <w:pStyle w:val="Heading2"/>
      </w:pPr>
      <w:r>
        <w:rPr>
          <w:b/>
        </w:rPr>
        <w:t>Author contributions</w:t>
      </w:r>
      <w:bookmarkEnd w:id="139"/>
    </w:p>
    <w:p>
      <w:pPr>
        <w:pStyle w:val="FirstParagraph"/>
      </w:pPr>
      <w:r>
        <w:t xml:space="preserve">[Author names mapped to CRediT roles; confirmation of final approval and accountability].</w:t>
      </w:r>
    </w:p>
    <w:bookmarkEnd w:id="32"/>
    <w:bookmarkStart w:id="33" w:name="Xa795f839aa3476760733bd38e4d2d15944e6881"/>
    <w:p>
      <w:bookmarkStart w:id="141" w:name="loc_77"/>
      <w:pPr>
        <w:pStyle w:val="Heading2"/>
      </w:pPr>
      <w:r>
        <w:rPr>
          <w:b/>
        </w:rPr>
        <w:t>Ethics, registration and public involvement</w:t>
      </w:r>
      <w:bookmarkEnd w:id="141"/>
    </w:p>
    <w:p>
      <w:pPr>
        <w:pStyle w:val="FirstParagraph"/>
      </w:pPr>
      <w:r>
        <w:t xml:space="preserve">[Ethics approval or exemption determination and consent requirements, including the expert assessment and forced-choice component]. [Study registration status and identifier, if applicable]. [Patient and public involvement statement].</w:t>
      </w:r>
    </w:p>
    <w:bookmarkEnd w:id="33"/>
    <w:bookmarkStart w:id="37" w:name="data-availability"/>
    <w:p>
      <w:bookmarkStart w:id="143" w:name="loc_79"/>
      <w:pPr>
        <w:pStyle w:val="Heading2"/>
      </w:pPr>
      <w:r>
        <w:rPr>
          <w:b/>
        </w:rPr>
        <w:t>Data availability</w:t>
      </w:r>
      <w:bookmarkEnd w:id="143"/>
    </w:p>
    <w:p>
      <w:pPr>
        <w:pStyle w:val="FirstParagraph"/>
      </w:pPr>
      <w:r>
        <w:t xml:space="preserve">The</w:t>
      </w:r>
      <w:r>
        <w:t xml:space="preserve"> </w:t>
      </w:r>
      <w:hyperlink r:id="rId34">
        <w:r>
          <w:rPr>
            <w:rStyle w:val="Hyperlink"/>
          </w:rPr>
          <w:t xml:space="preserve">public study repository</w:t>
        </w:r>
      </w:hyperlink>
      <w:r>
        <w:t xml:space="preserve"> </w:t>
      </w:r>
      <w:r>
        <w:t xml:space="preserve">provides analysis code, derived data, expert assessment sheets, prompts and reproducibility materials. An archival DOI and complete dataset citation remain pending. ARBITER source is available at</w:t>
      </w:r>
      <w:r>
        <w:t xml:space="preserve"> </w:t>
      </w:r>
      <w:hyperlink r:id="rId20">
        <w:r>
          <w:rPr>
            <w:rStyle w:val="Hyperlink"/>
          </w:rPr>
          <w:t xml:space="preserve">the public software commit</w:t>
        </w:r>
      </w:hyperlink>
      <w:r>
        <w:t xml:space="preserve">. The</w:t>
      </w:r>
      <w:r>
        <w:t xml:space="preserve"> </w:t>
      </w:r>
      <w:hyperlink r:id="rId35">
        <w:r>
          <w:rPr>
            <w:rStyle w:val="Hyperlink"/>
          </w:rPr>
          <w:t xml:space="preserve">results report</w:t>
        </w:r>
      </w:hyperlink>
      <w:r>
        <w:t xml:space="preserve"> </w:t>
      </w:r>
      <w:r>
        <w:t xml:space="preserve">and</w:t>
      </w:r>
      <w:r>
        <w:t xml:space="preserve"> </w:t>
      </w:r>
      <w:hyperlink r:id="rId36">
        <w:r>
          <w:rPr>
            <w:rStyle w:val="Hyperlink"/>
          </w:rPr>
          <w:t xml:space="preserve">supplement</w:t>
        </w:r>
      </w:hyperlink>
      <w:r>
        <w:t xml:space="preserve"> </w:t>
      </w:r>
      <w:r>
        <w:t xml:space="preserve">provide the figures, editable tables and reproduction links. Trial PDFs will not be redistributed; trial DOIs and source-file hashes will identify the inputs. Author declarations and archival registration remain pending completion.</w:t>
      </w:r>
    </w:p>
    <w:bookmarkEnd w:id="37"/>
    <w:bookmarkEnd w:id="38"/>
    <w:bookmarkStart w:id="62" w:name="references"/>
    <w:p>
      <w:bookmarkStart w:id="145" w:name="loc_81"/>
      <w:pPr>
        <w:pStyle w:val="Heading1"/>
      </w:pPr>
      <w:r>
        <w:rPr>
          <w:b/>
        </w:rPr>
        <w:t>REFERENCES</w:t>
      </w:r>
      <w:bookmarkEnd w:id="145"/>
    </w:p>
    <w:p>
      <w:pPr>
        <w:numPr>
          <w:ilvl w:val="0"/>
          <w:numId w:val="1001"/>
        </w:numPr>
      </w:pPr>
      <w:r>
        <w:t xml:space="preserve">Sterne JAC, Savović J, Page MJ, et al. RoB 2: a revised tool for assessing risk of bias in randomised trials.</w:t>
      </w:r>
      <w:r>
        <w:t xml:space="preserve"> </w:t>
      </w:r>
      <w:r>
        <w:rPr>
          <w:i/>
          <w:iCs/>
        </w:rPr>
        <w:t xml:space="preserve">BMJ</w:t>
      </w:r>
      <w:r>
        <w:t xml:space="preserve"> </w:t>
      </w:r>
      <w:r>
        <w:t xml:space="preserve">2019;366:l4898. doi:</w:t>
      </w:r>
      <w:hyperlink r:id="rId39">
        <w:r>
          <w:rPr>
            <w:rStyle w:val="Hyperlink"/>
          </w:rPr>
          <w:t xml:space="preserve">10.1136/bmj.l4898</w:t>
        </w:r>
      </w:hyperlink>
      <w:r>
        <w:t xml:space="preserve">.</w:t>
      </w:r>
    </w:p>
    <w:p>
      <w:pPr>
        <w:numPr>
          <w:ilvl w:val="0"/>
          <w:numId w:val="1001"/>
        </w:numPr>
      </w:pPr>
      <w:r>
        <w:t xml:space="preserve">Minozzi S, Cinquini M, Gianola S, et al. The revised Cochrane risk of bias tool for randomized trials (RoB 2) showed low interrater reliability and challenges in its application.</w:t>
      </w:r>
      <w:r>
        <w:t xml:space="preserve"> </w:t>
      </w:r>
      <w:r>
        <w:rPr>
          <w:i/>
          <w:iCs/>
        </w:rPr>
        <w:t xml:space="preserve">J Clin Epidemiol</w:t>
      </w:r>
      <w:r>
        <w:t xml:space="preserve"> </w:t>
      </w:r>
      <w:r>
        <w:t xml:space="preserve">2020;126:37–44. doi:</w:t>
      </w:r>
      <w:hyperlink r:id="rId40">
        <w:r>
          <w:rPr>
            <w:rStyle w:val="Hyperlink"/>
          </w:rPr>
          <w:t xml:space="preserve">10.1016/j.jclinepi.2020.06.015</w:t>
        </w:r>
      </w:hyperlink>
      <w:r>
        <w:t xml:space="preserve">.</w:t>
      </w:r>
    </w:p>
    <w:p>
      <w:pPr>
        <w:numPr>
          <w:ilvl w:val="0"/>
          <w:numId w:val="1001"/>
        </w:numPr>
      </w:pPr>
      <w:r>
        <w:t xml:space="preserve">Minozzi S, Dwan K, Borrelli F, et al. Reliability of the revised Cochrane risk-of-bias tool for randomised trials (RoB2) improved with the use of implementation instruction.</w:t>
      </w:r>
      <w:r>
        <w:t xml:space="preserve"> </w:t>
      </w:r>
      <w:r>
        <w:rPr>
          <w:i/>
          <w:iCs/>
        </w:rPr>
        <w:t xml:space="preserve">J Clin Epidemiol</w:t>
      </w:r>
      <w:r>
        <w:t xml:space="preserve"> </w:t>
      </w:r>
      <w:r>
        <w:t xml:space="preserve">2022;141:99–105. doi:</w:t>
      </w:r>
      <w:hyperlink r:id="rId41">
        <w:r>
          <w:rPr>
            <w:rStyle w:val="Hyperlink"/>
          </w:rPr>
          <w:t xml:space="preserve">10.1016/j.jclinepi.2021.09.021</w:t>
        </w:r>
      </w:hyperlink>
      <w:r>
        <w:t xml:space="preserve">.</w:t>
      </w:r>
    </w:p>
    <w:p>
      <w:pPr>
        <w:numPr>
          <w:ilvl w:val="0"/>
          <w:numId w:val="1001"/>
        </w:numPr>
      </w:pPr>
      <w:r>
        <w:t xml:space="preserve">Bertizzolo L, Bossuyt P, Atal I, et al. Disagreements in risk of bias assessment for randomised controlled trials included in more than one Cochrane systematic reviews: a research on research study using cross-sectional design.</w:t>
      </w:r>
      <w:r>
        <w:t xml:space="preserve"> </w:t>
      </w:r>
      <w:r>
        <w:rPr>
          <w:i/>
          <w:iCs/>
        </w:rPr>
        <w:t xml:space="preserve">BMJ Open</w:t>
      </w:r>
      <w:r>
        <w:t xml:space="preserve"> </w:t>
      </w:r>
      <w:r>
        <w:t xml:space="preserve">2019;9:e028382. doi:</w:t>
      </w:r>
      <w:hyperlink r:id="rId42">
        <w:r>
          <w:rPr>
            <w:rStyle w:val="Hyperlink"/>
          </w:rPr>
          <w:t xml:space="preserve">10.1136/bmjopen-2018-028382</w:t>
        </w:r>
      </w:hyperlink>
      <w:r>
        <w:t xml:space="preserve">.</w:t>
      </w:r>
    </w:p>
    <w:p>
      <w:pPr>
        <w:numPr>
          <w:ilvl w:val="0"/>
          <w:numId w:val="1001"/>
        </w:numPr>
      </w:pPr>
      <w:r>
        <w:t xml:space="preserve">Riaz IB, Naqvi SAA, Hasan B, Murad MH. Future of Evidence Synthesis: Automated, Living, and Interactive Systematic Reviews and Meta-analyses.</w:t>
      </w:r>
      <w:r>
        <w:t xml:space="preserve"> </w:t>
      </w:r>
      <w:r>
        <w:rPr>
          <w:i/>
          <w:iCs/>
        </w:rPr>
        <w:t xml:space="preserve">Mayo Clin Proc Digit Health</w:t>
      </w:r>
      <w:r>
        <w:t xml:space="preserve"> </w:t>
      </w:r>
      <w:r>
        <w:t xml:space="preserve">2024;2:361–65. doi:</w:t>
      </w:r>
      <w:hyperlink r:id="rId43">
        <w:r>
          <w:rPr>
            <w:rStyle w:val="Hyperlink"/>
          </w:rPr>
          <w:t xml:space="preserve">10.1016/j.mcpdig.2024.05.023</w:t>
        </w:r>
      </w:hyperlink>
      <w:r>
        <w:t xml:space="preserve">.</w:t>
      </w:r>
    </w:p>
    <w:p>
      <w:pPr>
        <w:numPr>
          <w:ilvl w:val="0"/>
          <w:numId w:val="1001"/>
        </w:numPr>
      </w:pPr>
      <w:r>
        <w:t xml:space="preserve">Marshall IJ, Kuiper J, Wallace BC. RobotReviewer: evaluation of a system for automatically assessing bias in clinical trials.</w:t>
      </w:r>
      <w:r>
        <w:t xml:space="preserve"> </w:t>
      </w:r>
      <w:r>
        <w:rPr>
          <w:i/>
          <w:iCs/>
        </w:rPr>
        <w:t xml:space="preserve">J Am Med Inform Assoc</w:t>
      </w:r>
      <w:r>
        <w:t xml:space="preserve"> </w:t>
      </w:r>
      <w:r>
        <w:t xml:space="preserve">2016;23:193–201. doi:</w:t>
      </w:r>
      <w:hyperlink r:id="rId44">
        <w:r>
          <w:rPr>
            <w:rStyle w:val="Hyperlink"/>
          </w:rPr>
          <w:t xml:space="preserve">10.1093/jamia/ocv044</w:t>
        </w:r>
      </w:hyperlink>
      <w:r>
        <w:t xml:space="preserve">.</w:t>
      </w:r>
    </w:p>
    <w:p>
      <w:pPr>
        <w:numPr>
          <w:ilvl w:val="0"/>
          <w:numId w:val="1001"/>
        </w:numPr>
      </w:pPr>
      <w:r>
        <w:t xml:space="preserve">Hevia A, Chintalapati S, Lai VKW, et al. ROBOTO2: An Interactive System and Dataset for LLM-assisted Clinical Trial Risk of Bias Assessment. In:</w:t>
      </w:r>
      <w:r>
        <w:t xml:space="preserve"> </w:t>
      </w:r>
      <w:r>
        <w:rPr>
          <w:i/>
          <w:iCs/>
        </w:rPr>
        <w:t xml:space="preserve">Proceedings of the 2025 Conference on Empirical Methods in Natural Language Processing: System Demonstrations</w:t>
      </w:r>
      <w:r>
        <w:t xml:space="preserve">. Association for Computational Linguistics, 2025:12–25. doi:</w:t>
      </w:r>
      <w:hyperlink r:id="rId45">
        <w:r>
          <w:rPr>
            <w:rStyle w:val="Hyperlink"/>
          </w:rPr>
          <w:t xml:space="preserve">10.18653/v1/2025.emnlp-demos.2</w:t>
        </w:r>
      </w:hyperlink>
      <w:r>
        <w:t xml:space="preserve">.</w:t>
      </w:r>
    </w:p>
    <w:p>
      <w:pPr>
        <w:numPr>
          <w:ilvl w:val="0"/>
          <w:numId w:val="1001"/>
        </w:numPr>
      </w:pPr>
      <w:r>
        <w:t xml:space="preserve">Ji C, Zhao B, Wang Z, et al. RoBGuard: Enhancing LLMs to Assess Risk of Bias in Clinical Trial Documents. In:</w:t>
      </w:r>
      <w:r>
        <w:t xml:space="preserve"> </w:t>
      </w:r>
      <w:r>
        <w:rPr>
          <w:i/>
          <w:iCs/>
        </w:rPr>
        <w:t xml:space="preserve">Proceedings of the 31st International Conference on Computational Linguistics</w:t>
      </w:r>
      <w:r>
        <w:t xml:space="preserve">. Association for Computational Linguistics, 2025:1258–77. Available at:</w:t>
      </w:r>
      <w:r>
        <w:t xml:space="preserve"> </w:t>
      </w:r>
      <w:hyperlink r:id="rId46">
        <w:r>
          <w:rPr>
            <w:rStyle w:val="Hyperlink"/>
          </w:rPr>
          <w:t xml:space="preserve">ACL Anthology</w:t>
        </w:r>
      </w:hyperlink>
      <w:r>
        <w:t xml:space="preserve">.</w:t>
      </w:r>
    </w:p>
    <w:p>
      <w:pPr>
        <w:numPr>
          <w:ilvl w:val="0"/>
          <w:numId w:val="1001"/>
        </w:numPr>
      </w:pPr>
      <w:r>
        <w:t xml:space="preserve">Gandhi S, Shokravi A, Chelliahpillai Y, et al. Evaluating large language model performance in Risk of Bias assessments: A cross-sectional validation study.</w:t>
      </w:r>
      <w:r>
        <w:t xml:space="preserve"> </w:t>
      </w:r>
      <w:r>
        <w:rPr>
          <w:i/>
          <w:iCs/>
        </w:rPr>
        <w:t xml:space="preserve">PLoS One</w:t>
      </w:r>
      <w:r>
        <w:t xml:space="preserve"> </w:t>
      </w:r>
      <w:r>
        <w:t xml:space="preserve">2026;21:e0353155. doi:</w:t>
      </w:r>
      <w:hyperlink r:id="rId47">
        <w:r>
          <w:rPr>
            <w:rStyle w:val="Hyperlink"/>
          </w:rPr>
          <w:t xml:space="preserve">10.1371/journal.pone.0353155</w:t>
        </w:r>
      </w:hyperlink>
      <w:r>
        <w:t xml:space="preserve">.</w:t>
      </w:r>
    </w:p>
    <w:p>
      <w:pPr>
        <w:numPr>
          <w:ilvl w:val="0"/>
          <w:numId w:val="1001"/>
        </w:numPr>
      </w:pPr>
      <w:r>
        <w:t xml:space="preserve">Huang J, Lai H, Zhao W, et al. Large Language Model–Assisted Risk-of-Bias Assessment in Randomized Controlled Trials Using the Revised Risk-of-Bias Tool: Evaluation Study.</w:t>
      </w:r>
      <w:r>
        <w:t xml:space="preserve"> </w:t>
      </w:r>
      <w:r>
        <w:rPr>
          <w:i/>
          <w:iCs/>
        </w:rPr>
        <w:t xml:space="preserve">J Med Internet Res</w:t>
      </w:r>
      <w:r>
        <w:t xml:space="preserve"> </w:t>
      </w:r>
      <w:r>
        <w:t xml:space="preserve">2025;27:e70450. doi:</w:t>
      </w:r>
      <w:hyperlink r:id="rId48">
        <w:r>
          <w:rPr>
            <w:rStyle w:val="Hyperlink"/>
          </w:rPr>
          <w:t xml:space="preserve">10.2196/70450</w:t>
        </w:r>
      </w:hyperlink>
      <w:r>
        <w:t xml:space="preserve">.</w:t>
      </w:r>
    </w:p>
    <w:p>
      <w:pPr>
        <w:numPr>
          <w:ilvl w:val="0"/>
          <w:numId w:val="1001"/>
        </w:numPr>
      </w:pPr>
      <w:r>
        <w:t xml:space="preserve">Xiong YT, Wang YC, Sun YN, et al. Impact of prompt engineering on large language models for risk of bias assessment: a comparative study.</w:t>
      </w:r>
      <w:r>
        <w:t xml:space="preserve"> </w:t>
      </w:r>
      <w:r>
        <w:rPr>
          <w:i/>
          <w:iCs/>
        </w:rPr>
        <w:t xml:space="preserve">BMJ Evid Based Med</w:t>
      </w:r>
      <w:r>
        <w:t xml:space="preserve"> </w:t>
      </w:r>
      <w:r>
        <w:t xml:space="preserve">2026;31:332–41. doi:</w:t>
      </w:r>
      <w:hyperlink r:id="rId49">
        <w:r>
          <w:rPr>
            <w:rStyle w:val="Hyperlink"/>
          </w:rPr>
          <w:t xml:space="preserve">10.1136/bmjebm-2025-114055</w:t>
        </w:r>
      </w:hyperlink>
      <w:r>
        <w:t xml:space="preserve">.</w:t>
      </w:r>
    </w:p>
    <w:p>
      <w:pPr>
        <w:numPr>
          <w:ilvl w:val="0"/>
          <w:numId w:val="1001"/>
        </w:numPr>
      </w:pPr>
      <w:r>
        <w:t xml:space="preserve">Taneri PE. Human Versus Artificial Intelligence: Comparing Cochrane Authors’ and ChatGPT’s Risk of Bias Assessments.</w:t>
      </w:r>
      <w:r>
        <w:t xml:space="preserve"> </w:t>
      </w:r>
      <w:r>
        <w:rPr>
          <w:i/>
          <w:iCs/>
        </w:rPr>
        <w:t xml:space="preserve">Cochrane Evidence Synthesis and Methods</w:t>
      </w:r>
      <w:r>
        <w:t xml:space="preserve"> </w:t>
      </w:r>
      <w:r>
        <w:t xml:space="preserve">2025;3:e70044. doi:</w:t>
      </w:r>
      <w:hyperlink r:id="rId50">
        <w:r>
          <w:rPr>
            <w:rStyle w:val="Hyperlink"/>
          </w:rPr>
          <w:t xml:space="preserve">10.1002/cesm.70044</w:t>
        </w:r>
      </w:hyperlink>
      <w:r>
        <w:t xml:space="preserve">.</w:t>
      </w:r>
    </w:p>
    <w:p>
      <w:pPr>
        <w:numPr>
          <w:ilvl w:val="0"/>
          <w:numId w:val="1001"/>
        </w:numPr>
      </w:pPr>
      <w:r>
        <w:t xml:space="preserve">Lai YJ, Lin SH, Liu JW. Evaluating the Accuracy of Large Language Models in Risk-of-Bias Assessment Using Version 2 of the Cochrane Risk-of-Bias Tool for Randomized Trials: Exploratory Feasibility Study.</w:t>
      </w:r>
      <w:r>
        <w:t xml:space="preserve"> </w:t>
      </w:r>
      <w:r>
        <w:rPr>
          <w:i/>
          <w:iCs/>
        </w:rPr>
        <w:t xml:space="preserve">J Med Internet Res</w:t>
      </w:r>
      <w:r>
        <w:t xml:space="preserve"> </w:t>
      </w:r>
      <w:r>
        <w:t xml:space="preserve">2026;28:e84915. doi:</w:t>
      </w:r>
      <w:hyperlink r:id="rId51">
        <w:r>
          <w:rPr>
            <w:rStyle w:val="Hyperlink"/>
          </w:rPr>
          <w:t xml:space="preserve">10.2196/84915</w:t>
        </w:r>
      </w:hyperlink>
      <w:r>
        <w:t xml:space="preserve">.</w:t>
      </w:r>
    </w:p>
    <w:p>
      <w:pPr>
        <w:numPr>
          <w:ilvl w:val="0"/>
          <w:numId w:val="1001"/>
        </w:numPr>
      </w:pPr>
      <w:r>
        <w:t xml:space="preserve">Gartlehner G, Kugley S, Crotty K, et al. Artificial Intelligence–Assisted Data Extraction With a Large Language Model: A Study Within Reviews.</w:t>
      </w:r>
      <w:r>
        <w:t xml:space="preserve"> </w:t>
      </w:r>
      <w:r>
        <w:rPr>
          <w:i/>
          <w:iCs/>
        </w:rPr>
        <w:t xml:space="preserve">Ann Intern Med</w:t>
      </w:r>
      <w:r>
        <w:t xml:space="preserve"> </w:t>
      </w:r>
      <w:r>
        <w:t xml:space="preserve">2025;178:1763–71. doi:</w:t>
      </w:r>
      <w:hyperlink r:id="rId52">
        <w:r>
          <w:rPr>
            <w:rStyle w:val="Hyperlink"/>
          </w:rPr>
          <w:t xml:space="preserve">10.7326/ANNALS-25-00739</w:t>
        </w:r>
      </w:hyperlink>
      <w:r>
        <w:t xml:space="preserve">.</w:t>
      </w:r>
    </w:p>
    <w:p>
      <w:pPr>
        <w:numPr>
          <w:ilvl w:val="0"/>
          <w:numId w:val="1001"/>
        </w:numPr>
      </w:pPr>
      <w:r>
        <w:t xml:space="preserve">Gallifant J, Afshar M, Ameen S, et al. The TRIPOD-LLM reporting guideline for studies using large language models.</w:t>
      </w:r>
      <w:r>
        <w:t xml:space="preserve"> </w:t>
      </w:r>
      <w:r>
        <w:rPr>
          <w:i/>
          <w:iCs/>
        </w:rPr>
        <w:t xml:space="preserve">Nat Med</w:t>
      </w:r>
      <w:r>
        <w:t xml:space="preserve"> </w:t>
      </w:r>
      <w:r>
        <w:t xml:space="preserve">2025;31:60–69. doi:</w:t>
      </w:r>
      <w:hyperlink r:id="rId53">
        <w:r>
          <w:rPr>
            <w:rStyle w:val="Hyperlink"/>
          </w:rPr>
          <w:t xml:space="preserve">10.1038/s41591-024-03425-5</w:t>
        </w:r>
      </w:hyperlink>
      <w:r>
        <w:t xml:space="preserve">.</w:t>
      </w:r>
    </w:p>
    <w:p>
      <w:pPr>
        <w:numPr>
          <w:ilvl w:val="0"/>
          <w:numId w:val="1001"/>
        </w:numPr>
      </w:pPr>
      <w:r>
        <w:t xml:space="preserve">Kottner J, Audigé L, Brorson S, et al. Guidelines for Reporting Reliability and Agreement Studies (GRRAS) were proposed.</w:t>
      </w:r>
      <w:r>
        <w:t xml:space="preserve"> </w:t>
      </w:r>
      <w:r>
        <w:rPr>
          <w:i/>
          <w:iCs/>
        </w:rPr>
        <w:t xml:space="preserve">J Clin Epidemiol</w:t>
      </w:r>
      <w:r>
        <w:t xml:space="preserve"> </w:t>
      </w:r>
      <w:r>
        <w:t xml:space="preserve">2011;64:96–106. doi:</w:t>
      </w:r>
      <w:hyperlink r:id="rId54">
        <w:r>
          <w:rPr>
            <w:rStyle w:val="Hyperlink"/>
          </w:rPr>
          <w:t xml:space="preserve">10.1016/j.jclinepi.2010.03.002</w:t>
        </w:r>
      </w:hyperlink>
      <w:r>
        <w:t xml:space="preserve">.</w:t>
      </w:r>
    </w:p>
    <w:p>
      <w:pPr>
        <w:numPr>
          <w:ilvl w:val="0"/>
          <w:numId w:val="1001"/>
        </w:numPr>
      </w:pPr>
      <w:r>
        <w:t xml:space="preserve">Nyrhi L, Ponkilainen V, Laaksonen J, et al. Large language models for risk-of-bias assessment in randomised clinical trials—a comparative validation study.</w:t>
      </w:r>
      <w:r>
        <w:t xml:space="preserve"> </w:t>
      </w:r>
      <w:r>
        <w:rPr>
          <w:i/>
          <w:iCs/>
        </w:rPr>
        <w:t xml:space="preserve">EBioMedicine</w:t>
      </w:r>
      <w:r>
        <w:t xml:space="preserve"> </w:t>
      </w:r>
      <w:r>
        <w:t xml:space="preserve">2026;126:106238. doi:</w:t>
      </w:r>
      <w:hyperlink r:id="rId55">
        <w:r>
          <w:rPr>
            <w:rStyle w:val="Hyperlink"/>
          </w:rPr>
          <w:t xml:space="preserve">10.1016/j.ebiom.2026.106238</w:t>
        </w:r>
      </w:hyperlink>
      <w:r>
        <w:t xml:space="preserve">.</w:t>
      </w:r>
    </w:p>
    <w:p>
      <w:pPr>
        <w:numPr>
          <w:ilvl w:val="0"/>
          <w:numId w:val="1001"/>
        </w:numPr>
      </w:pPr>
      <w:r>
        <w:t xml:space="preserve">Choi J, Swan H, Kim MJ, et al. Variability, algorithm conformance, and accuracy of large language model–based tools for risk-of-bias (RoB 2.0) assessment of randomized trials: a pilot study.</w:t>
      </w:r>
      <w:r>
        <w:t xml:space="preserve"> </w:t>
      </w:r>
      <w:r>
        <w:rPr>
          <w:i/>
          <w:iCs/>
        </w:rPr>
        <w:t xml:space="preserve">Journal of Evidence-Based Practice</w:t>
      </w:r>
      <w:r>
        <w:t xml:space="preserve"> </w:t>
      </w:r>
      <w:r>
        <w:t xml:space="preserve">2026;2:91–97. doi:</w:t>
      </w:r>
      <w:hyperlink r:id="rId56">
        <w:r>
          <w:rPr>
            <w:rStyle w:val="Hyperlink"/>
          </w:rPr>
          <w:t xml:space="preserve">10.63528/jebp.2026.00011</w:t>
        </w:r>
      </w:hyperlink>
      <w:r>
        <w:t xml:space="preserve">.</w:t>
      </w:r>
    </w:p>
    <w:p>
      <w:pPr>
        <w:numPr>
          <w:ilvl w:val="0"/>
          <w:numId w:val="1001"/>
        </w:numPr>
      </w:pPr>
      <w:r>
        <w:t xml:space="preserve">Huang J, Tang Z, Ling Q, Kuang Z, E H. Can LLMs Follow Medical Expert Logic? A Benchmark for Hierarchical Logical Consistency in Risk-of-Bias Assessment.</w:t>
      </w:r>
      <w:r>
        <w:t xml:space="preserve"> </w:t>
      </w:r>
      <w:r>
        <w:rPr>
          <w:i/>
          <w:iCs/>
        </w:rPr>
        <w:t xml:space="preserve">arXiv</w:t>
      </w:r>
      <w:r>
        <w:t xml:space="preserve"> </w:t>
      </w:r>
      <w:r>
        <w:t xml:space="preserve">report, version 1, 10 September 2026.</w:t>
      </w:r>
      <w:r>
        <w:t xml:space="preserve"> </w:t>
      </w:r>
      <w:hyperlink r:id="rId57">
        <w:r>
          <w:rPr>
            <w:rStyle w:val="Hyperlink"/>
          </w:rPr>
          <w:t xml:space="preserve">arXiv:2609.11185v1</w:t>
        </w:r>
      </w:hyperlink>
      <w:r>
        <w:t xml:space="preserve">. Accepted to EMNLP 2026 Main Conference.</w:t>
      </w:r>
    </w:p>
    <w:p>
      <w:pPr>
        <w:numPr>
          <w:ilvl w:val="0"/>
          <w:numId w:val="1001"/>
        </w:numPr>
      </w:pPr>
      <w:r>
        <w:t xml:space="preserve">Liang Z, Sheffield C, Butera G, Antani S. Retrieve-Then-Verify for Evaluating Evidence Support and Hallucination in Large Language Model–Generated Medical Information: Empirical Study.</w:t>
      </w:r>
      <w:r>
        <w:t xml:space="preserve"> </w:t>
      </w:r>
      <w:r>
        <w:rPr>
          <w:i/>
          <w:iCs/>
        </w:rPr>
        <w:t xml:space="preserve">JMIR AI</w:t>
      </w:r>
      <w:r>
        <w:t xml:space="preserve"> </w:t>
      </w:r>
      <w:r>
        <w:t xml:space="preserve">2026;5:e93761. doi:</w:t>
      </w:r>
      <w:hyperlink r:id="rId58">
        <w:r>
          <w:rPr>
            <w:rStyle w:val="Hyperlink"/>
          </w:rPr>
          <w:t xml:space="preserve">10.2196/93761</w:t>
        </w:r>
      </w:hyperlink>
      <w:r>
        <w:t xml:space="preserve">.</w:t>
      </w:r>
    </w:p>
    <w:p>
      <w:pPr>
        <w:numPr>
          <w:ilvl w:val="0"/>
          <w:numId w:val="1001"/>
        </w:numPr>
      </w:pPr>
      <w:r>
        <w:t xml:space="preserve">Joseph J, Vishwanath R, Sisirkumar JV. RoB2-Evaluator: Development and Technical Evaluation of a Rule-Constrained Large Language Model System for Cochrane Risk of Bias 2 Assessment.</w:t>
      </w:r>
      <w:r>
        <w:t xml:space="preserve"> </w:t>
      </w:r>
      <w:r>
        <w:rPr>
          <w:i/>
          <w:iCs/>
        </w:rPr>
        <w:t xml:space="preserve">medRxiv</w:t>
      </w:r>
      <w:r>
        <w:t xml:space="preserve"> </w:t>
      </w:r>
      <w:r>
        <w:t xml:space="preserve">[Preprint]. Posted 23 September 2026. doi:</w:t>
      </w:r>
      <w:hyperlink r:id="rId59">
        <w:r>
          <w:rPr>
            <w:rStyle w:val="Hyperlink"/>
          </w:rPr>
          <w:t xml:space="preserve">10.64898/2026.09.22.26363693</w:t>
        </w:r>
      </w:hyperlink>
      <w:r>
        <w:t xml:space="preserve">.</w:t>
      </w:r>
    </w:p>
    <w:p>
      <w:pPr>
        <w:numPr>
          <w:ilvl w:val="0"/>
          <w:numId w:val="1001"/>
        </w:numPr>
      </w:pPr>
      <w:r>
        <w:t xml:space="preserve">Soboczenski F, Trikalinos TA, Kuiper J, et al. Machine learning to help researchers evaluate biases in clinical trials: a prospective, randomized user study.</w:t>
      </w:r>
      <w:r>
        <w:t xml:space="preserve"> </w:t>
      </w:r>
      <w:r>
        <w:rPr>
          <w:i/>
          <w:iCs/>
        </w:rPr>
        <w:t xml:space="preserve">BMC Med Inform Decis Mak</w:t>
      </w:r>
      <w:r>
        <w:t xml:space="preserve"> </w:t>
      </w:r>
      <w:r>
        <w:t xml:space="preserve">2019;19:96. doi:</w:t>
      </w:r>
      <w:hyperlink r:id="rId60">
        <w:r>
          <w:rPr>
            <w:rStyle w:val="Hyperlink"/>
          </w:rPr>
          <w:t xml:space="preserve">10.1186/s12911-019-0814-z</w:t>
        </w:r>
      </w:hyperlink>
      <w:r>
        <w:t xml:space="preserve">.</w:t>
      </w:r>
    </w:p>
    <w:p>
      <w:pPr>
        <w:numPr>
          <w:ilvl w:val="0"/>
          <w:numId w:val="1001"/>
        </w:numPr>
      </w:pPr>
      <w:r>
        <w:t xml:space="preserve">Jardim PSJ, Rose CJ, Ames HM, et al. Automating risk of bias assessment in systematic reviews: a real-time mixed methods comparison of human researchers to a machine learning system.</w:t>
      </w:r>
      <w:r>
        <w:t xml:space="preserve"> </w:t>
      </w:r>
      <w:r>
        <w:rPr>
          <w:i/>
          <w:iCs/>
        </w:rPr>
        <w:t xml:space="preserve">BMC Med Res Methodol</w:t>
      </w:r>
      <w:r>
        <w:t xml:space="preserve"> </w:t>
      </w:r>
      <w:r>
        <w:t xml:space="preserve">2022;22:167. doi:</w:t>
      </w:r>
      <w:hyperlink r:id="rId61">
        <w:r>
          <w:rPr>
            <w:rStyle w:val="Hyperlink"/>
          </w:rPr>
          <w:t xml:space="preserve">10.1186/s12874-022-01649-y</w:t>
        </w:r>
      </w:hyperlink>
      <w:r>
        <w:t xml:space="preserve">.</w:t>
      </w:r>
    </w:p>
    <w:bookmarkEnd w:id="62"/>
    <w:bookmarkEnd w:id="63"/>
    <w:p>
      <w:bookmarkStart w:id="169" w:name="loc_105"/>
      <w:pPr>
        <w:pStyle w:val="Heading1"/>
        <w:pageBreakBefore/>
      </w:pPr>
      <w:r>
        <w:t>FIGURE LEGENDS</w:t>
      </w:r>
      <w:bookmarkEnd w:id="169"/>
    </w:p>
    <w:p>
      <w:pPr>
        <w:keepNext/>
        <w:keepLines/>
        <w:pageBreakBefore w:val="0"/>
      </w:pPr>
      <w:r>
        <w:t>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p>
      <w:pPr>
        <w:keepLines/>
      </w:pPr>
      <w:r>
        <w:t>Alt text: 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w:t>
      </w:r>
    </w:p>
    <w:p>
      <w:pPr>
        <w:keepNext/>
        <w:keepLines/>
        <w:pageBreakBefore/>
      </w:pPr>
      <w:r>
        <w:t>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missing dated analysis plan leads to Some concerns overall. Full answers and official question wording appear in the AVATAR complete trace in the supplement. Y, yes; PY, probably yes; PN, probably no; N, no; NI, no information.</w:t>
      </w:r>
    </w:p>
    <w:p>
      <w:pPr>
        <w:keepLines/>
      </w:pPr>
      <w:r>
        <w:t>Alt text: 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w:t>
      </w:r>
    </w:p>
    <w:p>
      <w:pPr>
        <w:keepNext/>
        <w:keepLines/>
        <w:pageBreakBefore/>
      </w:pPr>
      <w:r>
        <w:t>Figure 3. Paired evaluation and conditional blinded-label choices. Both arms assessed the same 102 trials using the same Sonnet model and supplied documents. Two experts independently recorded ratings and signalling answers for all 510 trial-domain cells before viewing labels. In a separate stage, each chose among three labels presented in random order without rationales. The conditional choice estimate uses 60 agreed choices from 80 arm-discordant cells; 20 split choices enter sensitivities. The all-cell expert comparisons are not restricted to that conditional population. Counts are trials or cells as indicated; no interval applies.</w:t>
      </w:r>
    </w:p>
    <w:p>
      <w:pPr>
        <w:keepLines/>
      </w:pPr>
      <w:r>
        <w:t>Alt text: Paired evaluation of 102 trials and 510 cells against two independent experts. A separate conditional branch contains 80 arm-discordant cells, 60 agreed choices and 20 splits.</w:t>
      </w:r>
    </w:p>
    <w:p>
      <w:pPr>
        <w:keepNext/>
        <w:keepLines/>
        <w:pageBreakBefore/>
      </w:pPr>
      <w:r>
        <w:t>Figure 4. Absolute and paired domain agreement with each independent expert. Blue circles denote ARBITER and orange squares Unassisted. Left panels show exact agreement with 95% intervals on a 0–100% scale; right panels show paired ARBITER minus Unassisted differences in percentage points, with neutral diamonds and zero lines. Each expert contributes 510 pooled cells and 102 per domain. Expert-to-expert agreement is 388/510 (76.1%; weighted κ 0.59), context rather than a performance ceiling. The compact Published comparison retains all 510 cells. D1: randomisation process; D2: deviations from intended interventions; D3: missing outcome data; D4: outcome measurement; D5: selection of the reported result. Overall is supplementary. CI, 95% confidence interval; 10,000 percentile bootstrap replicates, trials resampled within meta-analysis; seed 20261018.</w:t>
      </w:r>
    </w:p>
    <w:p>
      <w:pPr>
        <w:keepLines/>
      </w:pPr>
      <w:r>
        <w:t>Alt text: Exact agreement and paired gains against each expert, pooled and by domain. Both pooled gains favor ARBITER; D5 gains are largest and D3 depends strongly on the expert reference. The full-cohort Published comparison is shown separately.</w:t>
      </w:r>
    </w:p>
    <w:p>
      <w:pPr>
        <w:keepNext/>
        <w:keepLines/>
        <w:pageBreakBefore/>
      </w:pPr>
      <w:r>
        <w:t>Figure 5. Paired signalling-answer diagnostics. Rows cover all five domains against each expert; n is the number of question components evaluable in both arms. Diamonds and bars show ARBITER minus Unassisted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intended interventions; D3: missing outcome data; D4: outcome measurement; D5: selection of the reported result. D3 and D5 illustrate reference dependence and the effect of coding; the complete question-level results, including sparse and unfavorable comparisons, are in eFigures 2 and 5. Source-specific absolute rates appear separately in eFigure 4. CI, 95% confidence interval; 10,000 percentile bootstrap replicates, trials resampled within meta-analysis; seed 20261018.</w:t>
      </w:r>
    </w:p>
    <w:p>
      <w:pPr>
        <w:keepLines/>
      </w:pPr>
      <w:r>
        <w:t>Alt text: Paired signalling-answer differences by domain and expert, separating five-level and collapsed coding. D3 changes direction with coding against Expert 1; D5 collapsed gains are smaller against Expert 2.</w:t>
      </w:r>
    </w:p>
    <w:sectPr>
      <w:footerReference w:type="default" r:id="rId9"/>
      <w:footnotePr>
        <w:numRestart w:val="eachSect"/>
      </w:footnotePr>
      <w:pgMar w:top="1080" w:bottom="1080"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Arial" w:hAnsi="Arial"/>
      <w:color w:val="000000"/>
      <w:sz w:val="22"/>
    </w:rPr>
  </w:style>
  <w:style w:styleId="BodyText" w:type="paragraph">
    <w:name w:val="Body Text"/>
    <w:basedOn w:val="Normal"/>
    <w:link w:val="BodyTextChar"/>
    <w:qFormat/>
    <w:pPr>
      <w:spacing w:after="0" w:before="180" w:line="480" w:lineRule="auto"/>
    </w:pPr>
    <w:rPr>
      <w:rFonts w:ascii="Arial" w:hAnsi="Arial"/>
      <w:color w:val="000000"/>
      <w:sz w:val="22"/>
    </w:rPr>
  </w:style>
  <w:style w:customStyle="1" w:styleId="FirstParagraph" w:type="paragraph">
    <w:name w:val="First Paragraph"/>
    <w:basedOn w:val="BodyText"/>
    <w:next w:val="BodyText"/>
    <w:qFormat/>
    <w:pPr>
      <w:spacing w:line="480" w:lineRule="auto" w:after="0"/>
    </w:pPr>
    <w:rPr>
      <w:rFonts w:ascii="Arial" w:hAnsi="Arial"/>
      <w:color w:val="000000"/>
      <w:sz w:val="22"/>
    </w:rPr>
  </w:style>
  <w:style w:customStyle="1" w:styleId="Compact" w:type="paragraph">
    <w:name w:val="Compact"/>
    <w:basedOn w:val="BodyText"/>
    <w:qFormat/>
    <w:pPr>
      <w:spacing w:after="0" w:before="36" w:line="480" w:lineRule="auto"/>
    </w:pPr>
    <w:rPr>
      <w:rFonts w:ascii="Arial" w:hAnsi="Arial"/>
      <w:color w:val="000000"/>
      <w:sz w:val="22"/>
    </w:rPr>
  </w:style>
  <w:style w:styleId="Title" w:type="paragraph">
    <w:name w:val="Title"/>
    <w:basedOn w:val="Normal"/>
    <w:next w:val="BodyText"/>
    <w:link w:val="TitleChar"/>
    <w:uiPriority w:val="10"/>
    <w:qFormat/>
    <w:rsid w:val="00A10FD9"/>
    <w:pPr>
      <w:spacing w:after="0" w:line="480" w:lineRule="auto"/>
      <w:contextualSpacing/>
      <w:jc w:val="center"/>
    </w:pPr>
    <w:rPr>
      <w:rFonts w:cstheme="majorBidi" w:ascii="Arial" w:hAnsi="Arial"/>
      <w:color w:val="000000"/>
      <w:sz w:val="2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after="0"/>
    </w:pPr>
    <w:rPr>
      <w:rFonts w:cstheme="majorBidi" w:ascii="Arial" w:hAnsi="Arial"/>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after="0"/>
    </w:pPr>
    <w:rPr>
      <w:rFonts w:ascii="Arial" w:hAnsi="Arial"/>
      <w:color w:val="000000"/>
      <w:sz w:val="22"/>
      <w:szCs w:val="24"/>
    </w:rPr>
  </w:style>
  <w:style w:styleId="Date" w:type="paragraph">
    <w:name w:val="Date"/>
    <w:basedOn w:val="Title"/>
    <w:next w:val="BodyText"/>
    <w:qFormat/>
    <w:pPr>
      <w:keepNext/>
      <w:keepLines/>
      <w:spacing w:line="480" w:lineRule="auto" w:after="0"/>
    </w:pPr>
    <w:rPr>
      <w:rFonts w:ascii="Arial" w:hAnsi="Arial"/>
      <w:color w:val="000000"/>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Arial" w:hAnsi="Arial"/>
      <w:b/>
      <w:color w:val="000000"/>
      <w:sz w:val="22"/>
      <w:szCs w:val="20"/>
    </w:rPr>
  </w:style>
  <w:style w:customStyle="1" w:styleId="Abstract" w:type="paragraph">
    <w:name w:val="Abstract"/>
    <w:basedOn w:val="Normal"/>
    <w:next w:val="BodyText"/>
    <w:qFormat/>
    <w:pPr>
      <w:keepNext/>
      <w:keepLines/>
      <w:spacing w:after="0" w:before="100" w:line="480" w:lineRule="auto"/>
    </w:pPr>
    <w:rPr>
      <w:rFonts w:ascii="Arial" w:hAnsi="Arial"/>
      <w:color w:val="000000"/>
      <w:sz w:val="22"/>
      <w:szCs w:val="20"/>
    </w:rPr>
  </w:style>
  <w:style w:styleId="Bibliography" w:type="paragraph">
    <w:name w:val="Bibliography"/>
    <w:basedOn w:val="Normal"/>
    <w:next w:val="Bibliography"/>
    <w:qFormat/>
    <w:pPr>
      <w:spacing w:line="480" w:lineRule="auto" w:after="0"/>
    </w:pPr>
    <w:rPr>
      <w:rFonts w:ascii="Arial" w:hAnsi="Arial"/>
      <w:color w:val="000000"/>
      <w:sz w:val="22"/>
    </w:rPr>
  </w:style>
  <w:style w:styleId="Heading1" w:type="paragraph">
    <w:name w:val="heading 1"/>
    <w:basedOn w:val="Normal"/>
    <w:next w:val="BodyText"/>
    <w:link w:val="Heading1Char"/>
    <w:uiPriority w:val="9"/>
    <w:qFormat/>
    <w:rsid w:val="00A10FD9"/>
    <w:pPr>
      <w:keepNext/>
      <w:keepLines/>
      <w:spacing w:after="0" w:before="360" w:line="480" w:lineRule="auto"/>
      <w:outlineLvl w:val="0"/>
    </w:pPr>
    <w:rPr>
      <w:rFonts w:cstheme="majorBidi" w:ascii="Arial" w:hAnsi="Arial"/>
      <w:b/>
      <w:color w:val="000000"/>
      <w:sz w:val="22"/>
      <w:szCs w:val="40"/>
    </w:rPr>
  </w:style>
  <w:style w:styleId="Heading2" w:type="paragraph">
    <w:name w:val="heading 2"/>
    <w:basedOn w:val="Normal"/>
    <w:next w:val="BodyText"/>
    <w:link w:val="Heading2Char"/>
    <w:uiPriority w:val="9"/>
    <w:semiHidden/>
    <w:unhideWhenUsed/>
    <w:qFormat/>
    <w:rsid w:val="00A10FD9"/>
    <w:pPr>
      <w:keepNext/>
      <w:keepLines/>
      <w:spacing w:after="0" w:before="160" w:line="480" w:lineRule="auto"/>
      <w:outlineLvl w:val="1"/>
    </w:pPr>
    <w:rPr>
      <w:rFonts w:cstheme="majorBidi" w:ascii="Arial" w:hAnsi="Arial"/>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0" w:before="160" w:line="480" w:lineRule="auto"/>
      <w:outlineLvl w:val="2"/>
    </w:pPr>
    <w:rPr>
      <w:rFonts w:cstheme="majorBidi" w:ascii="Arial" w:hAnsi="Arial"/>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0" w:before="80" w:line="480" w:lineRule="auto"/>
      <w:outlineLvl w:val="3"/>
    </w:pPr>
    <w:rPr>
      <w:rFonts w:cstheme="majorBidi" w:ascii="Arial" w:hAnsi="Arial"/>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0" w:before="80" w:line="480" w:lineRule="auto"/>
      <w:outlineLvl w:val="4"/>
    </w:pPr>
    <w:rPr>
      <w:rFonts w:cstheme="majorBidi" w:ascii="Arial" w:hAnsi="Arial"/>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ascii="Arial" w:hAnsi="Arial"/>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ascii="Arial" w:hAnsi="Arial"/>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ascii="Arial" w:hAnsi="Arial"/>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ascii="Arial" w:hAnsi="Arial"/>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100" w:line="480" w:lineRule="auto"/>
      <w:ind w:firstLine="0" w:left="480" w:right="480"/>
    </w:pPr>
    <w:rPr>
      <w:rFonts w:ascii="Arial" w:hAnsi="Arial"/>
      <w:color w:val="000000"/>
      <w:sz w:val="22"/>
    </w:rPr>
  </w:style>
  <w:style w:styleId="FootnoteText" w:type="paragraph">
    <w:name w:val="Footnote Text"/>
    <w:basedOn w:val="Normal"/>
    <w:next w:val="FootnoteText"/>
    <w:uiPriority w:val="9"/>
    <w:unhideWhenUsed/>
    <w:qFormat/>
    <w:pPr>
      <w:spacing w:line="480" w:lineRule="auto" w:after="0"/>
    </w:pPr>
    <w:rPr>
      <w:rFonts w:ascii="Arial" w:hAnsi="Arial"/>
      <w:color w:val="000000"/>
      <w:sz w:val="22"/>
    </w:rPr>
  </w:style>
  <w:style w:styleId="FootnoteBlockText" w:type="paragraph">
    <w:name w:val="Footnote Block Text"/>
    <w:basedOn w:val="FootnoteText"/>
    <w:next w:val="FootnoteText"/>
    <w:uiPriority w:val="9"/>
    <w:unhideWhenUsed/>
    <w:qFormat/>
    <w:pPr>
      <w:spacing w:after="0" w:before="100" w:line="480" w:lineRule="auto"/>
      <w:ind w:firstLine="0" w:left="480" w:right="480"/>
    </w:pPr>
    <w:rPr>
      <w:rFonts w:ascii="Arial" w:hAnsi="Arial"/>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Arial" w:hAnsi="Arial"/>
      <w:b/>
      <w:color w:val="000000"/>
      <w:sz w:val="22"/>
    </w:rPr>
  </w:style>
  <w:style w:customStyle="1" w:styleId="Definition" w:type="paragraph">
    <w:name w:val="Definition"/>
    <w:basedOn w:val="Normal"/>
    <w:pPr>
      <w:spacing w:line="480" w:lineRule="auto" w:after="0"/>
    </w:pPr>
    <w:rPr>
      <w:rFonts w:ascii="Arial" w:hAnsi="Arial"/>
      <w:color w:val="000000"/>
      <w:sz w:val="22"/>
    </w:rPr>
  </w:style>
  <w:style w:styleId="Caption" w:type="paragraph">
    <w:name w:val="Caption"/>
    <w:basedOn w:val="Normal"/>
    <w:link w:val="BodyTextChar"/>
    <w:pPr>
      <w:spacing w:after="0" w:before="0" w:line="480" w:lineRule="auto"/>
    </w:pPr>
    <w:rPr>
      <w:rFonts w:ascii="Arial" w:hAnsi="Arial"/>
      <w:i/>
      <w:color w:val="000000"/>
      <w:sz w:val="22"/>
    </w:rPr>
  </w:style>
  <w:style w:customStyle="1" w:styleId="TableCaption" w:type="paragraph">
    <w:name w:val="Table Caption"/>
    <w:basedOn w:val="Caption"/>
    <w:pPr>
      <w:keepNext/>
      <w:spacing w:line="480" w:lineRule="auto" w:after="0"/>
    </w:pPr>
    <w:rPr>
      <w:rFonts w:ascii="Arial" w:hAnsi="Arial"/>
      <w:color w:val="000000"/>
      <w:sz w:val="22"/>
    </w:rPr>
  </w:style>
  <w:style w:customStyle="1" w:styleId="ImageCaption" w:type="paragraph">
    <w:name w:val="Image Caption"/>
    <w:basedOn w:val="Caption"/>
    <w:pPr>
      <w:spacing w:line="480" w:lineRule="auto" w:after="0"/>
    </w:pPr>
    <w:rPr>
      <w:rFonts w:ascii="Arial" w:hAnsi="Arial"/>
      <w:color w:val="000000"/>
      <w:sz w:val="22"/>
    </w:rPr>
  </w:style>
  <w:style w:customStyle="1" w:styleId="Figure" w:type="paragraph">
    <w:name w:val="Figure"/>
    <w:basedOn w:val="Normal"/>
    <w:pPr>
      <w:spacing w:line="480" w:lineRule="auto" w:after="0"/>
    </w:pPr>
    <w:rPr>
      <w:rFonts w:ascii="Arial" w:hAnsi="Arial"/>
      <w:color w:val="000000"/>
      <w:sz w:val="22"/>
    </w:rPr>
  </w:style>
  <w:style w:customStyle="1" w:styleId="CaptionedFigure" w:type="paragraph">
    <w:name w:val="Captioned Figure"/>
    <w:basedOn w:val="Figure"/>
    <w:pPr>
      <w:keepNext/>
      <w:spacing w:line="480" w:lineRule="auto" w:after="0"/>
    </w:pPr>
    <w:rPr>
      <w:rFonts w:ascii="Arial" w:hAnsi="Arial"/>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after="0"/>
      <w:outlineLvl w:val="9"/>
    </w:pPr>
    <w:rPr>
      <w:rFonts w:cstheme="majorBidi" w:ascii="Arial" w:hAnsi="Arial"/>
      <w:b w:val="0"/>
      <w:bCs w:val="0"/>
      <w:color w:val="000000"/>
      <w:sz w:val="22"/>
    </w:rPr>
  </w:style>
  <w:style w:type="paragraph" w:customStyle="1" w:styleId="SourceCode">
    <w:name w:val="Source Code"/>
    <w:basedOn w:val="Normal"/>
    <w:link w:val="VerbatimChar"/>
    <w:pPr>
      <w:wordWrap w:val="off"/>
      <w:spacing w:line="480" w:lineRule="auto" w:after="0"/>
    </w:pPr>
    <w:rPr>
      <w:rFonts w:ascii="Arial" w:hAnsi="Arial"/>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hyperlink" Target="https://aclanthology.org/2025.coling-main.84/" TargetMode="External"/><Relationship Id="rId35" Type="http://schemas.openxmlformats.org/officeDocument/2006/relationships/hyperlink" Target="https://alisalman-et-al.github.io/arbiter-JAMIA/results.html" TargetMode="External"/><Relationship Id="rId36" Type="http://schemas.openxmlformats.org/officeDocument/2006/relationships/hyperlink" Target="https://alisalman-et-al.github.io/arbiter-JAMIA/supplement.html" TargetMode="External"/><Relationship Id="rId57" Type="http://schemas.openxmlformats.org/officeDocument/2006/relationships/hyperlink" Target="https://arxiv.org/abs/2609.11185v1" TargetMode="External"/><Relationship Id="rId50" Type="http://schemas.openxmlformats.org/officeDocument/2006/relationships/hyperlink" Target="https://doi.org/10.1002/cesm.70044" TargetMode="External"/><Relationship Id="rId55" Type="http://schemas.openxmlformats.org/officeDocument/2006/relationships/hyperlink" Target="https://doi.org/10.1016/j.ebiom.2026.106238" TargetMode="External"/><Relationship Id="rId54" Type="http://schemas.openxmlformats.org/officeDocument/2006/relationships/hyperlink" Target="https://doi.org/10.1016/j.jclinepi.2010.03.002" TargetMode="External"/><Relationship Id="rId40" Type="http://schemas.openxmlformats.org/officeDocument/2006/relationships/hyperlink" Target="https://doi.org/10.1016/j.jclinepi.2020.06.015" TargetMode="External"/><Relationship Id="rId41" Type="http://schemas.openxmlformats.org/officeDocument/2006/relationships/hyperlink" Target="https://doi.org/10.1016/j.jclinepi.2021.09.021" TargetMode="External"/><Relationship Id="rId43" Type="http://schemas.openxmlformats.org/officeDocument/2006/relationships/hyperlink" Target="https://doi.org/10.1016/j.mcpdig.2024.05.023" TargetMode="External"/><Relationship Id="rId53" Type="http://schemas.openxmlformats.org/officeDocument/2006/relationships/hyperlink" Target="https://doi.org/10.1038/s41591-024-03425-5" TargetMode="External"/><Relationship Id="rId44" Type="http://schemas.openxmlformats.org/officeDocument/2006/relationships/hyperlink" Target="https://doi.org/10.1093/jamia/ocv044" TargetMode="External"/><Relationship Id="rId39" Type="http://schemas.openxmlformats.org/officeDocument/2006/relationships/hyperlink" Target="https://doi.org/10.1136/bmj.l4898" TargetMode="External"/><Relationship Id="rId49" Type="http://schemas.openxmlformats.org/officeDocument/2006/relationships/hyperlink" Target="https://doi.org/10.1136/bmjebm-2025-114055" TargetMode="External"/><Relationship Id="rId42" Type="http://schemas.openxmlformats.org/officeDocument/2006/relationships/hyperlink" Target="https://doi.org/10.1136/bmjopen-2018-028382" TargetMode="External"/><Relationship Id="rId61" Type="http://schemas.openxmlformats.org/officeDocument/2006/relationships/hyperlink" Target="https://doi.org/10.1186/s12874-022-01649-y" TargetMode="External"/><Relationship Id="rId60" Type="http://schemas.openxmlformats.org/officeDocument/2006/relationships/hyperlink" Target="https://doi.org/10.1186/s12911-019-0814-z" TargetMode="External"/><Relationship Id="rId47" Type="http://schemas.openxmlformats.org/officeDocument/2006/relationships/hyperlink" Target="https://doi.org/10.1371/journal.pone.0353155" TargetMode="External"/><Relationship Id="rId45" Type="http://schemas.openxmlformats.org/officeDocument/2006/relationships/hyperlink" Target="https://doi.org/10.18653/v1/2025.emnlp-demos.2" TargetMode="External"/><Relationship Id="rId48" Type="http://schemas.openxmlformats.org/officeDocument/2006/relationships/hyperlink" Target="https://doi.org/10.2196/70450" TargetMode="External"/><Relationship Id="rId51" Type="http://schemas.openxmlformats.org/officeDocument/2006/relationships/hyperlink" Target="https://doi.org/10.2196/84915" TargetMode="External"/><Relationship Id="rId58" Type="http://schemas.openxmlformats.org/officeDocument/2006/relationships/hyperlink" Target="https://doi.org/10.2196/93761" TargetMode="External"/><Relationship Id="rId56" Type="http://schemas.openxmlformats.org/officeDocument/2006/relationships/hyperlink" Target="https://doi.org/10.63528/jebp.2026.00011" TargetMode="External"/><Relationship Id="rId59" Type="http://schemas.openxmlformats.org/officeDocument/2006/relationships/hyperlink" Target="https://doi.org/10.64898/2026.09.22.26363693" TargetMode="External"/><Relationship Id="rId52" Type="http://schemas.openxmlformats.org/officeDocument/2006/relationships/hyperlink" Target="https://doi.org/10.7326/ANNALS-25-00739" TargetMode="External"/><Relationship Id="rId20" Type="http://schemas.openxmlformats.org/officeDocument/2006/relationships/hyperlink" Target="https://github.com/AliSalman-et-al/ARBITER/tree/2f549ae30f056ff441ea61a04b719968716f2219" TargetMode="External"/><Relationship Id="rId34" Type="http://schemas.openxmlformats.org/officeDocument/2006/relationships/hyperlink" Target="https://github.com/AliSalman-et-al/arbiter-JAMIA"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s://aclanthology.org/2025.coling-main.84/" TargetMode="External"/><Relationship Id="rId35" Type="http://schemas.openxmlformats.org/officeDocument/2006/relationships/hyperlink" Target="https://alisalman-et-al.github.io/arbiter-JAMIA/results.html" TargetMode="External"/><Relationship Id="rId36" Type="http://schemas.openxmlformats.org/officeDocument/2006/relationships/hyperlink" Target="https://alisalman-et-al.github.io/arbiter-JAMIA/supplement.html" TargetMode="External"/><Relationship Id="rId57" Type="http://schemas.openxmlformats.org/officeDocument/2006/relationships/hyperlink" Target="https://arxiv.org/abs/2609.11185v1" TargetMode="External"/><Relationship Id="rId50" Type="http://schemas.openxmlformats.org/officeDocument/2006/relationships/hyperlink" Target="https://doi.org/10.1002/cesm.70044" TargetMode="External"/><Relationship Id="rId55" Type="http://schemas.openxmlformats.org/officeDocument/2006/relationships/hyperlink" Target="https://doi.org/10.1016/j.ebiom.2026.106238" TargetMode="External"/><Relationship Id="rId54" Type="http://schemas.openxmlformats.org/officeDocument/2006/relationships/hyperlink" Target="https://doi.org/10.1016/j.jclinepi.2010.03.002" TargetMode="External"/><Relationship Id="rId40" Type="http://schemas.openxmlformats.org/officeDocument/2006/relationships/hyperlink" Target="https://doi.org/10.1016/j.jclinepi.2020.06.015" TargetMode="External"/><Relationship Id="rId41" Type="http://schemas.openxmlformats.org/officeDocument/2006/relationships/hyperlink" Target="https://doi.org/10.1016/j.jclinepi.2021.09.021" TargetMode="External"/><Relationship Id="rId43" Type="http://schemas.openxmlformats.org/officeDocument/2006/relationships/hyperlink" Target="https://doi.org/10.1016/j.mcpdig.2024.05.023" TargetMode="External"/><Relationship Id="rId53" Type="http://schemas.openxmlformats.org/officeDocument/2006/relationships/hyperlink" Target="https://doi.org/10.1038/s41591-024-03425-5" TargetMode="External"/><Relationship Id="rId44" Type="http://schemas.openxmlformats.org/officeDocument/2006/relationships/hyperlink" Target="https://doi.org/10.1093/jamia/ocv044" TargetMode="External"/><Relationship Id="rId39" Type="http://schemas.openxmlformats.org/officeDocument/2006/relationships/hyperlink" Target="https://doi.org/10.1136/bmj.l4898" TargetMode="External"/><Relationship Id="rId49" Type="http://schemas.openxmlformats.org/officeDocument/2006/relationships/hyperlink" Target="https://doi.org/10.1136/bmjebm-2025-114055" TargetMode="External"/><Relationship Id="rId42" Type="http://schemas.openxmlformats.org/officeDocument/2006/relationships/hyperlink" Target="https://doi.org/10.1136/bmjopen-2018-028382" TargetMode="External"/><Relationship Id="rId61" Type="http://schemas.openxmlformats.org/officeDocument/2006/relationships/hyperlink" Target="https://doi.org/10.1186/s12874-022-01649-y" TargetMode="External"/><Relationship Id="rId60" Type="http://schemas.openxmlformats.org/officeDocument/2006/relationships/hyperlink" Target="https://doi.org/10.1186/s12911-019-0814-z" TargetMode="External"/><Relationship Id="rId47" Type="http://schemas.openxmlformats.org/officeDocument/2006/relationships/hyperlink" Target="https://doi.org/10.1371/journal.pone.0353155" TargetMode="External"/><Relationship Id="rId45" Type="http://schemas.openxmlformats.org/officeDocument/2006/relationships/hyperlink" Target="https://doi.org/10.18653/v1/2025.emnlp-demos.2" TargetMode="External"/><Relationship Id="rId48" Type="http://schemas.openxmlformats.org/officeDocument/2006/relationships/hyperlink" Target="https://doi.org/10.2196/70450" TargetMode="External"/><Relationship Id="rId51" Type="http://schemas.openxmlformats.org/officeDocument/2006/relationships/hyperlink" Target="https://doi.org/10.2196/84915" TargetMode="External"/><Relationship Id="rId58" Type="http://schemas.openxmlformats.org/officeDocument/2006/relationships/hyperlink" Target="https://doi.org/10.2196/93761" TargetMode="External"/><Relationship Id="rId56" Type="http://schemas.openxmlformats.org/officeDocument/2006/relationships/hyperlink" Target="https://doi.org/10.63528/jebp.2026.00011" TargetMode="External"/><Relationship Id="rId59" Type="http://schemas.openxmlformats.org/officeDocument/2006/relationships/hyperlink" Target="https://doi.org/10.64898/2026.09.22.26363693" TargetMode="External"/><Relationship Id="rId52" Type="http://schemas.openxmlformats.org/officeDocument/2006/relationships/hyperlink" Target="https://doi.org/10.7326/ANNALS-25-00739" TargetMode="External"/><Relationship Id="rId20" Type="http://schemas.openxmlformats.org/officeDocument/2006/relationships/hyperlink" Target="https://github.com/AliSalman-et-al/ARBITER/tree/2f549ae30f056ff441ea61a04b719968716f2219" TargetMode="External"/><Relationship Id="rId34" Type="http://schemas.openxmlformats.org/officeDocument/2006/relationships/hyperlink" Target="https://github.com/AliSalman-et-al/arbiter-JAM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2026-10-23T12:22:04Z</dcterms:created>
  <dcterms:modified xsi:type="dcterms:W3CDTF">2026-10-23T12:22:04Z</dcterms:modified>
</cp:coreProperties>
</file>

<file path=docProps/custom.xml><?xml version="1.0" encoding="utf-8"?>
<Properties xmlns="http://schemas.openxmlformats.org/officeDocument/2006/custom-properties" xmlns:vt="http://schemas.openxmlformats.org/officeDocument/2006/docPropsVTypes"/>
</file>