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AVATAR complete trace</w:t>
      </w:r>
    </w:p>
    <w:p>
      <w:pPr>
        <w:pStyle w:val="ManuscriptBody"/>
      </w:pPr>
      <w:r>
        <w:t xml:space="preserve">eTable 2. Adjudicators usually agreed with ARBITER when it disagreed with Published</w:t>
      </w:r>
    </w:p>
    <w:p>
      <w:pPr>
        <w:pStyle w:val="ManuscriptBody"/>
      </w:pPr>
      <w:r>
        <w:t xml:space="preserve">eTable 3. Post hoc severity-stratified win share</w:t>
      </w:r>
    </w:p>
    <w:p>
      <w:pPr>
        <w:pStyle w:val="ManuscriptBody"/>
      </w:pPr>
      <w:r>
        <w:t xml:space="preserve">eTable 4. Per-adjudicator and split-cell win-share sensitivity</w:t>
      </w:r>
    </w:p>
    <w:p>
      <w:pPr>
        <w:pStyle w:val="ManuscriptBody"/>
      </w:pPr>
      <w:r>
        <w:t xml:space="preserve">eTable 5. Questions that alone changed the rating: frequencies, both populations</w:t>
      </w:r>
    </w:p>
    <w:p>
      <w:pPr>
        <w:pStyle w:val="ManuscriptBody"/>
      </w:pPr>
      <w:r>
        <w:t xml:space="preserve">eTable 6. Localisation population eligibility</w:t>
      </w:r>
    </w:p>
    <w:p>
      <w:pPr>
        <w:pStyle w:val="ManuscriptBody"/>
      </w:pPr>
      <w:r>
        <w:t xml:space="preserve">eTable 7. Error-localisation classes, both populations</w:t>
      </w:r>
    </w:p>
    <w:p>
      <w:pPr>
        <w:pStyle w:val="ManuscriptBody"/>
      </w:pPr>
      <w:r>
        <w:t xml:space="preserve">eTable 8. Published label distributions by domain</w:t>
      </w:r>
    </w:p>
    <w:p>
      <w:pPr>
        <w:pStyle w:val="ManuscriptBody"/>
      </w:pPr>
      <w:r>
        <w:t xml:space="preserve">eTable 9. Agreement against Published, all sources and domains</w:t>
      </w:r>
    </w:p>
    <w:p>
      <w:pPr>
        <w:pStyle w:val="ManuscriptBody"/>
      </w:pPr>
      <w:r>
        <w:t xml:space="preserve">eTable 10. Agreement against the composite reference, Sonnet only</w:t>
      </w:r>
    </w:p>
    <w:p>
      <w:pPr>
        <w:pStyle w:val="ManuscriptBody"/>
      </w:pPr>
      <w:r>
        <w:t xml:space="preserve">eTable 11. Paired differences against Published</w:t>
      </w:r>
    </w:p>
    <w:p>
      <w:pPr>
        <w:pStyle w:val="ManuscriptBody"/>
      </w:pPr>
      <w:r>
        <w:t xml:space="preserve">eTable 12. Paired differences against the composite reference</w:t>
      </w:r>
    </w:p>
    <w:p>
      <w:pPr>
        <w:pStyle w:val="ManuscriptBody"/>
      </w:pPr>
      <w:r>
        <w:t xml:space="preserve">eTable 13. RoB 2 consistency and structural audit, all sources and domains</w:t>
      </w:r>
    </w:p>
    <w:p>
      <w:pPr>
        <w:pStyle w:val="ManuscriptBody"/>
      </w:pPr>
      <w:r>
        <w:t xml:space="preserve">eTable 14. Invalid answer path sensitivity</w:t>
      </w:r>
    </w:p>
    <w:p>
      <w:pPr>
        <w:pStyle w:val="ManuscriptBody"/>
      </w:pPr>
      <w:r>
        <w:t xml:space="preserve">eTable 15. Recorded model override</w:t>
      </w:r>
    </w:p>
    <w:p>
      <w:pPr>
        <w:pStyle w:val="ManuscriptBody"/>
      </w:pPr>
      <w:r>
        <w:t xml:space="preserve">eTable 16. Independent and selected ratings: full agreement including AC2</w:t>
      </w:r>
    </w:p>
    <w:p>
      <w:pPr>
        <w:pStyle w:val="ManuscriptBody"/>
      </w:pPr>
      <w:r>
        <w:t xml:space="preserve">eTable 17. Time, cost and token use per trial by model</w:t>
      </w:r>
    </w:p>
    <w:p>
      <w:pPr>
        <w:pStyle w:val="ManuscriptBody"/>
      </w:pPr>
      <w:r>
        <w:t xml:space="preserve">eTable 18. API cost reconstruction: estimates and bounds</w:t>
      </w:r>
    </w:p>
    <w:p>
      <w:pPr>
        <w:pStyle w:val="ManuscriptBody"/>
      </w:pPr>
      <w:r>
        <w:t xml:space="preserve">eTable 19. Token reconciliation and compaction diagnostics</w:t>
      </w:r>
    </w:p>
    <w:p>
      <w:pPr>
        <w:pStyle w:val="ManuscriptBody"/>
      </w:pPr>
      <w:r>
        <w:t xml:space="preserve">eTable 20. Confusion matrices against Published</w:t>
      </w:r>
    </w:p>
    <w:p>
      <w:pPr>
        <w:pStyle w:val="ManuscriptBody"/>
      </w:pPr>
      <w:r>
        <w:t xml:space="preserve">eTable 21. Per-meta-analysis weighted κ</w:t>
      </w:r>
    </w:p>
    <w:p>
      <w:pPr>
        <w:pStyle w:val="ManuscriptBody"/>
      </w:pPr>
      <w:r>
        <w:t xml:space="preserve">eTable 22. Composite-reference sensitivity estimates by adjudicator</w:t>
      </w:r>
    </w:p>
    <w:p>
      <w:pPr>
        <w:pStyle w:val="ManuscriptBody"/>
      </w:pPr>
      <w:r>
        <w:t xml:space="preserve">eTable 23. Composite-reference paired differences by adjudicator</w:t>
      </w:r>
    </w:p>
    <w:p>
      <w:pPr>
        <w:pStyle w:val="ManuscriptBody"/>
      </w:pPr>
      <w:r>
        <w:t xml:space="preserve">eTable 24. Haiku agreement after excluding missing judgements</w:t>
      </w:r>
    </w:p>
    <w:p>
      <w:pPr>
        <w:pStyle w:val="ManuscriptBody"/>
      </w:pPr>
      <w:r>
        <w:t xml:space="preserve">eTable 25. Unresolved independent answer</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with Published varied across meta-analyses</w:t>
      </w:r>
    </w:p>
    <w:p>
      <w:pPr>
        <w:pStyle w:val="ManuscriptBody"/>
      </w:pPr>
      <w:r>
        <w:t xml:space="preserve">eFigure 2. ARBITER-only choices outnumbered Unassisted-only choices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the adjudicators’ agreed choice.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sectPr>
          <w:pgMar w:header="708" w:bottom="864" w:top="864" w:right="936" w:left="936" w:footer="708" w:gutter="0"/>
          <w:pgSz w:h="16834" w:w="11909" w:orient="portrait"/>
          <w:type w:val="continuous"/>
          <w:cols/>
        </w:sectPr>
      </w:pPr>
    </w:p>
    <w:p>
      <w:pPr>
        <w:pStyle w:val="Titre2"/>
      </w:pPr>
      <w:r>
        <w:t xml:space="preserve">eTable 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2. Adjudicators usually agreed with ARBITER when it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consensus disagreements as the denominator; split cells are displayed separately. Adjudicators agreed with it means their agreed choice equals the source label; Published upheld means their agreed choice equals the published review label; Other label means neither. Count is the outcome count; consensus n excludes split cells and All n includes them.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consensus cells where the two arms disagreed, stratified by ARBITER severity relative to Unassisted. Fractions are label-based wins / cells in that severity stratum.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label-based wins / cells where the two arms disagreed. Consensus is primary and includes only cells with the same choice from both adjudicators; each single-adjudicator analysis includes split cells.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Haiku was not adjudicated.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κ and AC2; exact agreement is n/N (%), with CI bounds in percent. The composite uses the adjudicators’ agreed choice on consensus disputed cells and Published elsewhere; split cells are excluded. Adjudicators chose among three offered labels. Cells where both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the adjudicators’ agreed choice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 with CI bounds in percent.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USD denotes API list-price equivalent, not expenditure; thinking is included in output.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22.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Haiku agreement after excluding missing judgements</w:t>
      </w:r>
    </w:p>
    <w:p>
      <w:pPr>
        <w:pStyle w:val="Titre2"/>
      </w:pPr>
      <w:r>
        <w:t xml:space="preserve">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(continued). Haiku agreement after excluding missing judgements</w:t>
      </w:r>
    </w:p>
    <w:p>
      <w:pPr>
        <w:pStyle w:val="Titre2"/>
      </w:pPr>
      <w:r>
        <w:t xml:space="preserve">Paired ARBITER minus Unassisted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pStyle w:val="Titre2"/>
      </w:pPr>
      <w:r>
        <w:t xml:space="preserve">eFigure 2. ARBITER-only choices outnumbered Unassisted-only choices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ARBITER-only choices were more frequent than Unassisted-only choices. Rows group disputed cells by disagreement with the published review label; columns show the adjudicators’ agreed choice or split. Counts use label equality; shared labels count as both arms preferred. A cell is one trial × domain.</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2026-10-19T01:51:27Z</dcterms:modified>
  <cp:category/>
</cp:coreProperties>
</file>