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Sixteen meta-analyses across 15 specialties supplied the benchmark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2304"/>
        <w:gridCol w:w="504"/>
        <w:gridCol w:w="2405"/>
        <w:gridCol w:w="576"/>
        <w:gridCol w:w="1109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Per-domain distributions: eTable 8.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2026-10-19T01:48:06Z</dcterms:modified>
  <cp:category/>
</cp:coreProperties>
</file>