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2. ARBITER detected more of the risk the published reviews flagged, with lower specificity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4"/>
        <w:gridCol w:w="1944"/>
        <w:gridCol w:w="1944"/>
        <w:gridCol w:w="1944"/>
        <w:gridCol w:w="2088"/>
      </w:tblGrid>
      <w:tr>
        <w:trPr>
          <w:cantSplit/>
          <w:trHeight w:val="496" w:hRule="auto"/>
          <w:tblHeader/>
        </w:trPr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Weighted κ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Exact agreement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Sensitivity¹</w:t>
            </w:r>
          </w:p>
        </w:tc>
        <w:tc>
          <w:tcPr>
            <w:tcBorders>
              <w:bottom w:val="single" w:sz="5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Specificity</w:t>
            </w:r>
          </w:p>
        </w:tc>
      </w:tr>
      <w:tr>
        <w:trPr>
          <w:cantSplit/>
          <w:trHeight w:val="480" w:hRule="auto"/>
        </w:trPr>
        <w:tc>
          <w:tcPr>
            <w:gridSpan w:val="5"/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Against Published labels — D1⁠–⁠D5 (510 cells); positive N = 83; Low N = 427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ARBITER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(0.26–0.42)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75.7 (72.4–79.0)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66.3 (57.3–74.7)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81.3 (77.7–84.7)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Unassisted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 (0.21–0.35)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77.5 (74.1–80.8)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50.6 (40.3–60.2)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85.7 (82.1–89.3)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All-Low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83.7 (81.0–86.5)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</w:tr>
      <w:tr>
        <w:trPr>
          <w:cantSplit/>
          <w:trHeight w:val="48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Against Published labels — Overall (81 trials); positive N = 39; Low N = 42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ARBITER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(0.32–0.56)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 (49.4–66.7)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92.3 (83.7–100.0)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54.8 (44.2–67.4)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Unassisted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 (0.27–0.56)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59.3 (50.6–67.9)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64.1 (50.0–77.8)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76.2 (65.9–86.8)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All-Low rule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(44.4–59.3)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</w:tr>
      <w:tr>
        <w:trPr>
          <w:cantSplit/>
          <w:trHeight w:val="48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Paired difference, ARBITER − Unassisted</w:t>
            </w:r>
          </w:p>
        </w:tc>
      </w:tr>
      <w:tr>
        <w:trPr>
          <w:cantSplit/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Published: D1⁠–⁠D5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 (−0.03 to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−1.8 (−5.1 to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15.7 (6.8–24.4)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−4.4 (−7.6 to −1.2)</w:t>
            </w:r>
          </w:p>
        </w:tc>
      </w:tr>
      <w:tr>
        <w:trPr>
          <w:cantSplit/>
          <w:trHeight w:val="49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Published: Overall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 (−0.11 to 0.16)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−1.2 (−11.1 to 8.6)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 (16.1–40.5)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−21.4 (−32.7 to −9.8)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Published means published review label. Values are coefficients or percentages (95% CI); denominators are in block labels. ¹ Sensitivity for Some concerns or High; specificity uses Low as negative. All-Low rule has no variance; only accuracy and specificity are reported. Paired differences are coefficients or percentage points; — indicates undefined or not applicable. AC2 and composite-reference results: eTables 9 and 10. Full paired differences: eTables 11–12. Overall judgements were not adjudicated. Published labels were frequently less severe than the adjudicators’ preferred judgement (Figure 4). CI, confidence interval; 10,000 percentile bootstrap replicates, trials resampled within meta-analysis; seed 20261018.</w:t>
            </w:r>
          </w:p>
        </w:tc>
      </w:tr>
    </w:tbl>
    <w:sectPr>
      <w:pgMar w:header="708" w:bottom="864" w:top="864" w:right="936" w:left="936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16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4"/>
      <w:szCs w:val="24"/>
      <w:color w:val="000000"/>
    </w:rPr>
  </w:style>
  <w:style xmlns:w="http://schemas.openxmlformats.org/wordprocessingml/2006/main" w:type="paragraph" w:customStyle="1" w:styleId="Titre2">
    <w:name w:val="heading 2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80" w:before="120" w:line="240"/>
      <w:ind w:left="0" w:right="0" w:firstLine="0" w:firstLineChars="0"/>
    </w:pPr>
    <w:rPr>
      <w:rFonts w:ascii="Arial" w:hAnsi="Arial" w:eastAsia="Arial" w:cs="Arial"/>
      <w:i w:val="false"/>
      <w:b w:val="true"/>
      <w:u w:val="none"/>
      <w:strike w:val="false"/>
      <w:sz w:val="20"/>
      <w:szCs w:val="20"/>
      <w:color w:val="00000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ManuscriptBody">
    <w:name w:val="Manuscript body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Pr>
      <w:rFonts w:ascii="Arial" w:hAnsi="Arial" w:eastAsia="Arial" w:cs="Arial"/>
      <w:i w:val="false"/>
      <w:b w:val="false"/>
      <w:u w:val="none"/>
      <w:strike w:val="false"/>
      <w:sz w:val="20"/>
      <w:szCs w:val="2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2026-10-19T01:48:07Z</dcterms:modified>
  <cp:category/>
</cp:coreProperties>
</file>