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2. Benchmark and reference context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3354"/>
        <w:gridCol w:w="6510"/>
      </w:tblGrid>
      <w:tr>
        <w:trPr>
          <w:cantSplit/>
          <w:tblHeader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Characteristic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Value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102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Meta-analyses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Specialties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 with protocol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26/102 (25.5%)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 with registry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73/102 (71.6%)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 with SAP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22/102 (21.6%)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Trials with supplement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69/102 (67.6%)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D1–D5: Human Review 1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Low: 277/510 (54.3%); Some concerns: 163/510 (32.0%); High: 70/510 (13.7%)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D1–D5: Human Review 2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Low: 346/510 (67.8%); Some concerns: 131/510 (25.7%); High: 33/510 (6.5%)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D1–D5: Published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Low: 427/510 (83.7%); Some concerns: 69/510 (13.5%); High: 14/510 (2.7%)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D1–D5: ARBITER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Low: 375/510 (73.5%); Some concerns: 114/510 (22.4%); High: 21/510 (4.1%)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D1–D5: Direct prompting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Low: 407/510 (79.8%); Some concerns: 80/510 (15.7%); High: 23/510 (4.5%)</w:t>
            </w:r>
          </w:p>
        </w:tc>
      </w:tr>
      <w:tr>
        <w:trPr>
          <w:cantSplit/>
        </w:trPr>
        <w:tc>
          <w:tcPr>
            <w:gridSpan w:val="2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Rating categories are Low, Some concerns and High; each source contributes 510 domain cells. Document counts are trials with each role recorded in the source inventory among 102 trials; roles can overlap. SAP, statistical analysis plan. Source distributions and separate human reviewer agreement appear in the compact supplement.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2026-10-31T17:01:40Z</dcterms:modified>
  <cp:category/>
</cp:coreProperties>
</file>