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3. Process checks and computational resources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5"/>
        <w:tblLayout w:type="fixed"/>
      </w:tblPr>
      <w:tblGrid>
        <w:gridCol w:w="3747"/>
        <w:gridCol w:w="1606"/>
        <w:gridCol w:w="2122"/>
        <w:gridCol w:w="2390"/>
      </w:tblGrid>
      <w:tr>
        <w:trPr>
          <w:cantSplit/>
          <w:tblHeader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Measure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Direct prompting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Paired mean difference (95% CI)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A. Rule conformance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Domain outputs reproduced from proposals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510/510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contradicts its own answers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26/509 (5.1%; 3.3–6.9)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Required question skipped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39/509 (7.7%; 5.7–10.0)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Any rule break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65/509 (12.8%; 10.0–15.6)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B. Computational resources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Runtime (minutes/trial), median (IQR)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7.6 (6.1–10.5)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0.5 (0.4–0.5)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11.0 (8.4–14.1)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API list-price equivalent (US$/trial), median (IQR)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3.78 (3.46–4.10)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0.09 (0.07–0.13)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3.68 (3.61–3.75)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C. Evidence records (ARBITER only)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Active required answers citing evidence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1,538/1,538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spans with complete binding fields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1,407/1,407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Image records with complete fields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14/14 (100%)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74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Exported records passing verification</w:t>
            </w:r>
          </w:p>
        </w:tc>
        <w:tc>
          <w:tcPr>
            <w:tcW w:type="dxa" w:w="1606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102/102 (100.0%)</w:t>
            </w:r>
          </w:p>
        </w:tc>
        <w:tc>
          <w:tcPr>
            <w:tcW w:type="dxa" w:w="212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9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5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Direct prompting rule-break cells show No./total (%; 95% CI); CI bounds are percentages. Domain rules use evaluable ratings (ARBITER 510; Direct prompting 509); one Direct prompting cell is unevaluable. ARBITER has no recorded domain overrides; one Overall escalation is permitted. Runtime and API list-price equivalents use 102 paired trials; source summaries are median (IQR), contrasts are paired mean differences. Cost is a frozen-rate equivalent, not expenditure. Evidence-record checks do not assess whether evidence supports an answer. — means not applicable; Not available means not measured.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2026-10-31T17:01:42Z</dcterms:modified>
  <cp:category/>
</cp:coreProperties>
</file>