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Table 4. Conditional blinded-label choices and sensitivities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3354"/>
        <w:gridCol w:w="6510"/>
      </w:tblGrid>
      <w:tr>
        <w:trPr>
          <w:cantSplit/>
          <w:tblHeader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Population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ARBITER, No./total (%) (95% CI)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Agreed choices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53/60 (88%; 80–96)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Human Review 1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63/80 (79%; 70–87)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Human Review 2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61/80 (76%; 68–85)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All splits counted against ARBITER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53/80 (66%; 58–75)</w:t>
            </w:r>
          </w:p>
        </w:tc>
      </w:tr>
      <w:tr>
        <w:trPr>
          <w:cantSplit/>
        </w:trPr>
        <w:tc>
          <w:tcPr>
            <w:gridSpan w:val="2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Conditional blinded-label choice evaluation includes 80 arm-cells where the two arms disagreed and the 60 for which the human reviewers made an agreed choice; 20 choices split. Review-specific sensitivities use all 80. The final row counts all 20 splits against ARBITER by assumption, without assigning Direct prompting wins. Human Review 1 chose neither arm in 4/80 cells; this is distinct from the split-loss assumption. CI, 95%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2026-10-31T17:01:42Z</dcterms:modified>
  <cp:category/>
</cp:coreProperties>
</file>