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Sixteen meta-analyses across 15 specialties supplied the benchmark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02"/>
        <w:gridCol w:w="1656"/>
        <w:gridCol w:w="2765"/>
        <w:gridCol w:w="576"/>
        <w:gridCol w:w="2160"/>
        <w:gridCol w:w="778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Specialty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Journal and year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Trials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Published D1⁠–⁠D5 labels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(Low/SC/High)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given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medicine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JAMA 2026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SGLT2 inhibitors and kidney outcomes across eGFR and albuminuria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/ 0 / 0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medicine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Clopidogrel vs aspirin for secondary prevention of coronary artery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/ 3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 Am Coll Cardiol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Early aortic valve replacement vs surveillance in asymptomatic severe aortic stenosis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Diabetes Endocrinol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GLP-1 receptor agonists and kidney and cardiovascular outcomes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Gastroenterology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Gastroenterology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GLP-1 receptor agonists and gastrointestinal adverse events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/ 4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Infectious diseases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 Infect Dis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Safety of high-dose rifampin in tuberculosis treatment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Nephrology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 J Am Soc Nephrol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Therapies for proteinuria and eGFR decline in IgA nephropathy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/ 5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Neurol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Pharmacotherapy and non-invasive neuromodulation for neuropathic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/ 7 /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Obstetrics and gynaecology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Hum Reprod Update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Preconception lifestyle interventions for women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/ 10 /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Oncology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Oncol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CDK4/6 inhibitors plus endocrine therapy in HR-positive, HER2-negative advanced breast cancer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Orthopaedics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Am J Sports Med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Lateral extra-articular procedure added to primary ACL reconstruction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/ 3 /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Paediatrics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JAMA Pediatr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Active treatment vs expectant management of patent ductus arteriosus in preterm infants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/ 6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Psychiatry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Psychiatry 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Cannabinoids for mental and substance use disorders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/ 6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Pulmonary and critical care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Respir Med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Preoxygenation strategies for intubation in critically ill patients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/ 0 /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Rheumatology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Rheumatol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Long-term effectiveness of non-surgical interventions for chronic low back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/ 23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single" w:sz="5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Surgery and anaesthesia</w:t>
            </w:r>
          </w:p>
        </w:tc>
        <w:tc>
          <w:tcPr>
            <w:tcBorders>
              <w:bottom w:val="single" w:sz="5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 J Anaesth 2025</w:t>
            </w:r>
          </w:p>
        </w:tc>
        <w:tc>
          <w:tcPr>
            <w:tcBorders>
              <w:bottom w:val="single" w:sz="5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Home-based prehabilitation before surgery</w:t>
            </w:r>
          </w:p>
        </w:tc>
        <w:tc>
          <w:tcPr>
            <w:tcBorders>
              <w:bottom w:val="single" w:sz="5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5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/ 2 / 3</w:t>
            </w:r>
          </w:p>
        </w:tc>
        <w:tc>
          <w:tcPr>
            <w:tcBorders>
              <w:bottom w:val="single" w:sz="5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8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single" w:sz="8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 / 69 / 14</w:t>
            </w:r>
          </w:p>
        </w:tc>
        <w:tc>
          <w:tcPr>
            <w:tcBorders>
              <w:bottom w:val="single" w:sz="8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/ 102</w:t>
            </w:r>
          </w:p>
        </w:tc>
      </w:tr>
      <w:tr>
        <w:trPr>
          <w:cantSplit/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SC, Some concerns; RoB 2, risk of bias tool for randomised trials. Counts are published labels pooled across D1–D5. Per-domain distributions: eTable 8. Overall given indicates whether published Overall labels are available; total is labelled trials/all trials. The analysis excludes three unsupported-design trials from all arms. Metadata are curated from the source meta-analyses. ACL, anterior cruciate ligament; CDK4/6, cyclin-dependent kinases 4 and 6; eGFR, estimated glomerular filtration rate; GLP-1, glucagon-like peptide-1; HER2, human epidermal growth factor receptor 2; HR, hormone receptor; IgA, immunoglobulin A; SGLT2, sodium-glucose cotransporter 2.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2026-10-19T05:44:34Z</dcterms:modified>
  <cp:category/>
</cp:coreProperties>
</file>