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ARBITER detected more of the risk flagged by published reviews, at lower specificity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4"/>
        <w:gridCol w:w="1944"/>
        <w:gridCol w:w="1944"/>
        <w:gridCol w:w="1944"/>
        <w:gridCol w:w="208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Source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Exact agreement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Sensitivity¹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Specificity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Against Published labels — D1⁠–⁠D5 (510 cells); Some concerns or High: N = 83; Low N = 427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 (0.26–0.42)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75.7% (72.4–79.0)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66.3% (57.3–74.7)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81.3% (77.7–84.7)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 (0.21–0.35)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77.5% (74.1–80.8)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50.6% (40.3–60.2)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85.7% (82.1–89.3)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All-Low rule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83.7% (81.0–86.5)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100.0%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Against Published labels — Overall (81 trials); Some concerns or High: N = 39; Low N = 42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(0.32–0.56)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58.0% (49.4–66.7)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92.3% (83.7–100.0)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54.8% (44.2–67.4)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 (0.27–0.56)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59.3% (50.6–67.9)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64.1% (50.0–77.8)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76.2% (65.9–86.8)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All-Low rule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51.9% (44.4–59.3)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100.0%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Paired difference, ARBITER − Unassisted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Published: D1⁠–⁠D5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 (−0.03 to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−1.8 (−5.1 to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15.7 (6.8–24.4)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−4.4 (−7.6 to −1.2)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Published: Overall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 (−0.11 to 0.16)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−1.2 (−11.1 to 8.6)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28.2 (16.1–40.5)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−21.4 (−32.7 to −9.8)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 means published review label. Values are coefficients or percentages (95% CI); denominators are in block labels. ¹ Sensitivity for Some concerns or High; specificity is the share of published Low ratings also rated Low. All-Low rule has no variance; only accuracy and specificity are reported. Paired differences are coefficients or percentage points; — indicates undefined or not applicable. AC2 and composite-reference results: eTables 9 and 10. Full paired differences: eTables 11–12. Overall judgements were not adjudicated. Published labels were frequently less severe than the adjudicators’ agreed choice (Figure 4).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2026-10-19T05:44:34Z</dcterms:modified>
  <cp:category/>
</cp:coreProperties>
</file>