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Without ARBITER, 1 in 8 domain ratings broke the RoB 2 rules</w:t>
      </w:r>
    </w:p>
    <w:tbl xmlns:a="http://schemas.openxmlformats.org/drawingml/2006/main" xmlns:pic="http://schemas.openxmlformats.org/drawingml/2006/picture">
      <w:tblPr>
        <w:tblLayout w:type="fixed"/>
        <w:jc w:val="center"/>
        <w:tblLook w:firstRow="1" w:lastRow="0" w:firstColumn="0" w:lastColumn="0" w:noHBand="0" w:noVBand="1"/>
      </w:tblPr>
      <w:tblGrid>
        <w:gridCol w:w="4248"/>
        <w:gridCol w:w="3168"/>
        <w:gridCol w:w="24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ratings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3.3–6.9)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5.7–10.0)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10.0–15.6)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 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 2.9–10.8)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 26.5–42.2)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 6.9–18.6)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rating</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rating follows the RoB 2 rules (incl. 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supporting passage or 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text linked to its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Image regions linked to their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passes the independent verifier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(x.x%; 95% CI a–b) where an interval is shown. A rule break means a rating contradicts its own answers or a required question was skipped. ARBITER computes proposed ratings from the official rules and requires complete answers. Recorded model overrides are in the supplement. One ARBITER Overall rating used the permitted escalation; both arms followed the Overall rules in every trial. Full checks, skipped-question sensitivity and overrides: eTables 13–15. One Unassisted domain lacks a rating and answers and is excluded (509 evaluable). Evidence coverage counts required answers citing a passage or image. Text and image checks count distinct cited records. ARBITER extracts quoted text and renders cited images. The model writes image descriptions; these are not checked against the images. The independent verifier checks the audit file structure, not clinical correctness or completion. Unassisted evidence records are unavailable.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2026-10-19T05:44:35Z</dcterms:modified>
  <cp:category/>
</cp:coreProperties>
</file>