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Before seeing any label, both adjudicators’ own ratings agreed with ARBITER far more than with the unassisted model or the published review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64"/>
        <w:gridCol w:w="2376"/>
        <w:gridCol w:w="302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Between adjudicators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(74.0%; 68.2–79.9)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Ratings chosen after seeing labels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(83.8%; 78.6–88.9)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1 own rating compared with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(22.1%; 15.8–28.5)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(69.5%; 62.7–76.0)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(44.8%; 38.1–51.6)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2 own rating compared with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(27.3%; 20.4–34.3)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(77.9%; 71.7–84.0)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(49.4%; 42.2–56.5)</w:t>
            </w:r>
          </w:p>
        </w:tc>
      </w:tr>
      <w:tr>
        <w:trPr>
          <w:cantSplit/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domain ratings reviewed because at least one Sonnet arm differed from the published label. These comparisons cannot estimate agreement or published-label accuracy in the full benchmark. Independent ratings preceded blinded label presentation. Adjudicators then chose among the three offered labels. Linearly weighted Cohen’s κ; AC2 is in eTable 16; raw agreement is n/N (x.x%; 95% CI a–b).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2026-10-19T05:44:36Z</dcterms:modified>
  <cp:category/>
</cp:coreProperties>
</file>