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ARBITER: Supplementary material</w:t>
      </w:r>
    </w:p>
    <w:p>
      <w:pPr>
        <w:pStyle w:val="Titre2"/>
      </w:pPr>
      <w:r>
        <w:t xml:space="preserve">Contents</w:t>
      </w:r>
    </w:p>
    <w:p>
      <w:pPr>
        <w:pStyle w:val="ManuscriptBody"/>
      </w:pPr>
      <w:r>
        <w:t xml:space="preserve">Methods appendix · Supplementary results · Prompt templates and example · Run provenance</w:t>
      </w:r>
    </w:p>
    <w:p>
      <w:pPr>
        <w:pStyle w:val="ManuscriptBody"/>
      </w:pPr>
      <w:r>
        <w:t xml:space="preserve">eTable 1. Published label distributions by domain</w:t>
      </w:r>
    </w:p>
    <w:p>
      <w:pPr>
        <w:pStyle w:val="ManuscriptBody"/>
      </w:pPr>
      <w:r>
        <w:t xml:space="preserve">eTable 2. Process metrics: Sonnet 5.5</w:t>
      </w:r>
    </w:p>
    <w:p>
      <w:pPr>
        <w:pStyle w:val="ManuscriptBody"/>
      </w:pPr>
      <w:r>
        <w:t xml:space="preserve">eTable 3. Process metrics: Haiku 5.5</w:t>
      </w:r>
    </w:p>
    <w:p>
      <w:pPr>
        <w:pStyle w:val="ManuscriptBody"/>
      </w:pPr>
      <w:r>
        <w:t xml:space="preserve">eTable 4. Agreement against Published, all sources and domains</w:t>
      </w:r>
    </w:p>
    <w:p>
      <w:pPr>
        <w:pStyle w:val="ManuscriptBody"/>
      </w:pPr>
      <w:r>
        <w:t xml:space="preserve">eTable 5. Agreement against the composite reference, Sonnet only</w:t>
      </w:r>
    </w:p>
    <w:p>
      <w:pPr>
        <w:pStyle w:val="ManuscriptBody"/>
      </w:pPr>
      <w:r>
        <w:t xml:space="preserve">eTable 6. RoB 2 consistency and structural audit, all sources and domains</w:t>
      </w:r>
    </w:p>
    <w:p>
      <w:pPr>
        <w:pStyle w:val="ManuscriptBody"/>
      </w:pPr>
      <w:r>
        <w:t xml:space="preserve">eTable 7. Invalid answer path sensitivity</w:t>
      </w:r>
    </w:p>
    <w:p>
      <w:pPr>
        <w:pStyle w:val="ManuscriptBody"/>
      </w:pPr>
      <w:r>
        <w:t xml:space="preserve">eTable 8. API cost reconstruction: estimates and bounds</w:t>
      </w:r>
    </w:p>
    <w:p>
      <w:pPr>
        <w:pStyle w:val="ManuscriptBody"/>
      </w:pPr>
      <w:r>
        <w:t xml:space="preserve">eTable 9. Token reconciliation and compaction diagnostics</w:t>
      </w:r>
    </w:p>
    <w:p>
      <w:pPr>
        <w:pStyle w:val="ManuscriptBody"/>
      </w:pPr>
      <w:r>
        <w:t xml:space="preserve">eTable 10. Confusion matrices against Published</w:t>
      </w:r>
    </w:p>
    <w:p>
      <w:pPr>
        <w:pStyle w:val="ManuscriptBody"/>
      </w:pPr>
      <w:r>
        <w:t xml:space="preserve">eTable 11. Per-meta-analysis weighted κ</w:t>
      </w:r>
    </w:p>
    <w:p>
      <w:pPr>
        <w:pStyle w:val="ManuscriptBody"/>
      </w:pPr>
      <w:r>
        <w:t xml:space="preserve">eTable 12. Post hoc severity-stratified win share</w:t>
      </w:r>
    </w:p>
    <w:p>
      <w:pPr>
        <w:pStyle w:val="ManuscriptBody"/>
      </w:pPr>
      <w:r>
        <w:t xml:space="preserve">eTable 13. Vindicated disagreements with Published, including split cells</w:t>
      </w:r>
    </w:p>
    <w:p>
      <w:pPr>
        <w:pStyle w:val="ManuscriptBody"/>
      </w:pPr>
      <w:r>
        <w:t xml:space="preserve">eTable 14. Per-adjudicator and split-cell win-share sensitivity</w:t>
      </w:r>
    </w:p>
    <w:p>
      <w:pPr>
        <w:pStyle w:val="ManuscriptBody"/>
      </w:pPr>
      <w:r>
        <w:t xml:space="preserve">eTable 15. Paired differences against Published</w:t>
      </w:r>
    </w:p>
    <w:p>
      <w:pPr>
        <w:pStyle w:val="ManuscriptBody"/>
      </w:pPr>
      <w:r>
        <w:t xml:space="preserve">eTable 16. Paired differences against the composite reference</w:t>
      </w:r>
    </w:p>
    <w:p>
      <w:pPr>
        <w:pStyle w:val="ManuscriptBody"/>
      </w:pPr>
      <w:r>
        <w:t xml:space="preserve">eTable 17. Composite sensitivity using Adjudicator 1</w:t>
      </w:r>
    </w:p>
    <w:p>
      <w:pPr>
        <w:pStyle w:val="ManuscriptBody"/>
      </w:pPr>
      <w:r>
        <w:t xml:space="preserve">eTable 18. Composite paired differences using Adjudicator 1</w:t>
      </w:r>
    </w:p>
    <w:p>
      <w:pPr>
        <w:pStyle w:val="ManuscriptBody"/>
      </w:pPr>
      <w:r>
        <w:t xml:space="preserve">eTable 19. Composite sensitivity using Adjudicator 2</w:t>
      </w:r>
    </w:p>
    <w:p>
      <w:pPr>
        <w:pStyle w:val="ManuscriptBody"/>
      </w:pPr>
      <w:r>
        <w:t xml:space="preserve">eTable 20. Composite paired differences using Adjudicator 2</w:t>
      </w:r>
    </w:p>
    <w:p>
      <w:pPr>
        <w:pStyle w:val="ManuscriptBody"/>
      </w:pPr>
      <w:r>
        <w:t xml:space="preserve">eTable 21. Missing-judgement sensitivity: paired observed Haiku cells</w:t>
      </w:r>
    </w:p>
    <w:p>
      <w:pPr>
        <w:pStyle w:val="ManuscriptBody"/>
      </w:pPr>
      <w:r>
        <w:t xml:space="preserve">eTable 22. Missing-judgement sensitivity: paired Haiku differences</w:t>
      </w:r>
    </w:p>
    <w:p>
      <w:pPr>
        <w:pStyle w:val="ManuscriptBody"/>
      </w:pPr>
      <w:r>
        <w:t xml:space="preserve">eTable 23. Localisation population eligibility</w:t>
      </w:r>
    </w:p>
    <w:p>
      <w:pPr>
        <w:pStyle w:val="ManuscriptBody"/>
      </w:pPr>
      <w:r>
        <w:t xml:space="preserve">eTable 24. Error-localisation classes, both populations</w:t>
      </w:r>
    </w:p>
    <w:p>
      <w:pPr>
        <w:pStyle w:val="ManuscriptBody"/>
      </w:pPr>
      <w:r>
        <w:t xml:space="preserve">eTable 25. Decisive-question frequencies, both populations</w:t>
      </w:r>
    </w:p>
    <w:p>
      <w:pPr>
        <w:pStyle w:val="ManuscriptBody"/>
      </w:pPr>
      <w:r>
        <w:t xml:space="preserve">eTable 26. Unresolved independent answer</w:t>
      </w:r>
    </w:p>
    <w:p>
      <w:pPr>
        <w:pStyle w:val="ManuscriptBody"/>
      </w:pPr>
      <w:r>
        <w:t xml:space="preserve">eTable 27. Recorded model override</w:t>
      </w:r>
    </w:p>
    <w:p>
      <w:pPr>
        <w:pStyle w:val="ManuscriptBody"/>
      </w:pPr>
      <w:r>
        <w:t xml:space="preserve">eTable 28. Quotation syntax in active justifications</w:t>
      </w:r>
    </w:p>
    <w:p>
      <w:pPr>
        <w:pStyle w:val="ManuscriptBody"/>
      </w:pPr>
      <w:r>
        <w:t xml:space="preserve">eTable 29. Unassisted justification content</w:t>
      </w:r>
    </w:p>
    <w:p>
      <w:pPr>
        <w:pStyle w:val="ManuscriptBody"/>
      </w:pPr>
      <w:r>
        <w:t xml:space="preserve">eTable 30. Exploratory signalling-answer agreement</w:t>
      </w:r>
    </w:p>
    <w:p>
      <w:pPr>
        <w:pStyle w:val="ManuscriptBody"/>
      </w:pPr>
      <w:r>
        <w:t xml:space="preserve">eTable 31. AVATAR complete trace</w:t>
      </w:r>
    </w:p>
    <w:p>
      <w:pPr>
        <w:pStyle w:val="ManuscriptBody"/>
      </w:pPr>
      <w:r>
        <w:t xml:space="preserve">eFigure 1. Agreement against Published by meta-analysis</w:t>
      </w:r>
    </w:p>
    <w:p>
      <w:pPr>
        <w:pStyle w:val="ManuscriptBody"/>
      </w:pPr>
      <w:r>
        <w:t xml:space="preserve">eFigure 2. Disagreement patterns and preferred judgements</w:t>
      </w:r>
    </w:p>
    <w:p>
      <w:pPr/>
      <w:r>
        <w:br w:type="page"/>
      </w:r>
    </w:p>
    <w:p>
      <w:pPr>
        <w:pStyle w:val="Titre1"/>
      </w:pPr>
      <w:r>
        <w:t xml:space="preserve">Methods appendix</w:t>
      </w:r>
    </w:p>
    <w:p>
      <w:pPr>
        <w:pStyle w:val="Titre2"/>
      </w:pPr>
      <w:r>
        <w:t xml:space="preserve">Algorithms and validation</w:t>
      </w:r>
    </w:p>
    <w:p>
      <w:pPr>
        <w:pStyle w:val="ManuscriptBody"/>
      </w:pPr>
      <w:r>
        <w:t xml:space="preserve">The official 22 August 2019 RoB 2 algorithms were implemented for D1 randomisation, D2 deviations (effect of assignment), D3 missing outcome data, D4 outcome measurement and D5 selection of the reported result. Numbered questions map to the 22 exported signalling questions. Required NA or missing answers make a nonempty path invalid; absent labels or wholly absent answer sets are not evaluable. Overall is the worst domain judgement, with High permitted when at least two domains have Some concerns. The guidance was cross-checked with ARBITER 1.0.0 source (commit 2f549ae). Unit tests cover the decision paths and required-answer checks. Bundle proposals reproduce 510/510 Sonnet and 505/505 observed Haiku domain outputs. One Haiku adoption overrides a Low proposal to Some concerns; rationale and evidence are retained. All required active answers in the ARBITER domain histories are present. Unassisted invalid-path sensitivity recursively resolves required invalid answers as N/PN, then NI; off-path answers are not imputed.</w:t>
      </w:r>
    </w:p>
    <w:p>
      <w:pPr>
        <w:pStyle w:val="Titre2"/>
      </w:pPr>
      <w:r>
        <w:t xml:space="preserve">API list-price reconstruction</w:t>
      </w:r>
    </w:p>
    <w:p>
      <w:pPr>
        <w:pStyle w:val="ManuscriptBody"/>
      </w:pPr>
      <w:r>
        <w:t xml:space="preserve">Costs are frozen-rate API list-price equivalents, not expenditure. USD rates per million tokens are: Sonnet input 2.00, 1-hour cache write 4.00, 5-minute write 2.50, cache read 0.10, output 10.00; Haiku at prompts of at most 100,000 tokens: 0.10, 0.20, 0.125, 0.01, 0.50; above 100,000: 0.50, 1.00, 0.625, 0.05, 2.50. Rates were frozen from the provider pricing documentation on 18 October 2026. Main-thread assistant events are deduplicated by message identity within turn; synthetic zero-usage events are excluded. Prompt length is input plus cache creation plus cache read. Terminal output is allocated by request share for the point estimate and wholly to lower/higher tiers for bounds. Thinking tokens are already included in output. Signed terminal-minus-request input residuals, including negative retry residuals, are retained and allocated at lower-tier, request-share and higher-tier rates. Side calls are total recorded model usage minus terminal usage. Compaction uses high-tier pricing and one-hour writes; five-minute writes are a sensitivity. Side-call turns without a compaction boundary are flagged and bounded. All trial bounds are ordered; Sonnet bounds coincide. Routing was global, with no geography multiplier. Harness costs are unusable: unrecognised model and unknown cost basis; retained only as supplementary diagnostics.</w:t>
      </w:r>
    </w:p>
    <w:p>
      <w:pPr/>
      <w:r>
        <w:br w:type="page"/>
      </w:r>
    </w:p>
    <w:p>
      <w:pPr>
        <w:pStyle w:val="Titre2"/>
      </w:pPr>
      <w:r>
        <w:t xml:space="preserve">Error localisation</w:t>
      </w:r>
    </w:p>
    <w:p>
      <w:pPr>
        <w:pStyle w:val="ManuscriptBody"/>
      </w:pPr>
      <w:r>
        <w:t xml:space="preserve">Losses are consensus cells where a source label differs from preferred. A reference adjudicator is usable only when their independent judgement equals consensus preferred. Primary requires both; sensitivity at least one. Haiku is excluded. Y/PY collapse to Y and N/PN to N; NI and NA remain separate. Discordance requires all usable adjudicators to agree on a parsed answer different from the losing answer. Adjudicator disagreements are separately flagged, never errors. A single replacement is decisive if it changes a valid algorithm output, even if the new output is not preferred. Other answers, including inactive NA, stay fixed; invalid substituted paths are not decisive. First applicable cell class: judgement departs from own answers; single decisive question; several decisive questions; jointly decisive (all discordant replacements reach preferred); no discordant questions with complete comparisons; not attributable. The no-discordance class can contain adjudicator-disagreement questions. Reference-judgement departures from their own answers are flagged. Frequencies count all individually decisive questions regardless of cell class; joint sets contribute none. Ambiguous or qualified answers are not imputed. Published losses cannot be localised without signalling answers.</w:t>
      </w:r>
    </w:p>
    <w:p>
      <w:pPr>
        <w:pStyle w:val="Titre2"/>
      </w:pPr>
      <w:r>
        <w:t xml:space="preserve">Evidence binding and verification</w:t>
      </w:r>
    </w:p>
    <w:p>
      <w:pPr>
        <w:pStyle w:val="ManuscriptBody"/>
      </w:pPr>
      <w:r>
        <w:t xml:space="preserve">Each distinct evidence identity cited in bases or counterevidence by current active answers is counted once per bundle; superseded histories are excluded. Visual records (figure kind or render field) take precedence over text spans. Text spans (narrative kind or quote/start/end fields) require a nonblank quote and source version, source identity matching a captured bundle source, finite page/start/end, and start less than end. Quotes are server-extracted spans cited by handle. Visual binding requires render source matching the record and a captured source, positive integer page, nonblank PNG hash, four finite region coordinates in [0,1] with ordered corners, and nonblank transcription. Images are server-rendered and hash-bound; transcriptions are model-written and are not machine-checked against the image. Unknown or missing records are other and unbound in the overall denominator. Empty bundles contribute no cited records. Trials using visual evidence use all 102 trials as denominator. These are structural checks, without PDF re-extraction or a judgement of whether a passage supports an answer. Bundle verification does not establish clinical correctness or completion. Unassisted evidence traces are not available.</w:t>
      </w:r>
    </w:p>
    <w:p>
      <w:pPr>
        <w:pStyle w:val="Titre2"/>
      </w:pPr>
      <w:r>
        <w:t xml:space="preserve">Inference and references</w:t>
      </w:r>
    </w:p>
    <w:p>
      <w:pPr>
        <w:pStyle w:val="ManuscriptBody"/>
      </w:pPr>
      <w:r>
        <w:t xml:space="preserve">All estimates use the fixed 102-trial set. CIs use 10,000 trial-cluster bootstrap replicates stratified by meta-analysis, percentile intervals (quantile type 7), seed 20261018; the same weights support paired differences. Missing predictions count as wrong. For ordinal coefficients a missing prediction receives maximal disagreement; a paired observed-cell Haiku sensitivity is reported. Independent signalling-answer agreement uses the earlier exploratory Y/PY, N/PN and NI/NA collapse. Higgins JPT, Savović J, Page MJ, Sterne JAC, editors. Revised Cochrane risk-of-bias tool for randomized trials (RoB 2), 22 August 2019. https://www.riskofbias.info/welcome/rob-2-0-tool/current-version-of-rob-2. Salman A et al. ARBITER 1.0.0, public source release, commit 2f549ae. https://github.com/AliSalman-et-al/ARBITER/tree/2f549ae30f056ff441ea61a04b719968716f2219. Anthropic. Claude API pricing. Accessed 18 October 2026. https://platform.claude.com/docs/en/about-claude/pricing.</w:t>
      </w:r>
    </w:p>
    <w:p>
      <w:pPr>
        <w:pStyle w:val="Titre1"/>
      </w:pPr>
      <w:r>
        <w:t xml:space="preserve">Supplementary results</w:t>
      </w:r>
    </w:p>
    <w:p>
      <w:pPr/>
      <w:r>
        <w:br w:type="page"/>
      </w:r>
    </w:p>
    <w:p>
      <w:pPr>
        <w:pStyle w:val="Titre2"/>
      </w:pPr>
      <w:r>
        <w:t xml:space="preserve">eTable 1. Published label distributions by domain</w:t>
      </w:r>
    </w:p>
    <w:tbl xmlns:a="http://schemas.openxmlformats.org/drawingml/2006/main" xmlns:pic="http://schemas.openxmlformats.org/drawingml/2006/picture">
      <w:tblPr>
        <w:tblLayout w:type="fixed"/>
        <w:jc w:val="center"/>
        <w:tblLook w:firstRow="1" w:lastRow="0" w:firstColumn="0" w:lastColumn="0" w:noHBand="0" w:noVBand="1"/>
      </w:tblPr>
      <w:tblGrid>
        <w:gridCol w:w="1656"/>
        <w:gridCol w:w="2880"/>
        <w:gridCol w:w="720"/>
        <w:gridCol w:w="922"/>
        <w:gridCol w:w="922"/>
        <w:gridCol w:w="922"/>
        <w:gridCol w:w="922"/>
        <w:gridCol w:w="922"/>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Specialty</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Topic</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Trials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D1</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D3</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D4</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General medicine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Clopidogrel vs aspirin for secondary prevention of coronary artery disease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General medicine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SGLT2 inhibitors and kidney outcomes across eGFR and albuminuria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Cardiology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Early aortic valve replacement vs surveillance in asymptomatic severe aortic stenosis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Endocrinology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GLP-1 receptor agonists and kidney and cardiovascular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Gastroenterology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GLP-1 receptor agonists and gastrointestinal adverse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Infectious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Safety of high-dose rifampin in tuberculosis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Nephrology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Therapies for proteinuria and eGFR decline in IgA nephropathy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Neurology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Pharmacotherapy and non-invasive neuromodulation for neuropathic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Obstetrics and gynaecology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Preconception lifestyle interventions for women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Oncology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CDK4/6 inhibitors plus endocrine therapy in HR-positive, HER2-negative advanced breast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Orthopaedics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Lateral extra-articular procedure added to primary ACL reconstruction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Paediatrics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Active treatment vs expectant management of patent ductus arteriosus in preterm infants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Psychiatry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Cannabinoids for mental and substance use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Pulmonary and critical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Preoxygenation strategies for intubation in critically ill patients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Rheumatology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Long-term effectiveness of non-surgical interventions for chronic low back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Surgery and anaesthesia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Home-based prehabilitation before surgery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7/0/0</w:t>
            </w:r>
          </w:p>
        </w:tc>
      </w:tr>
      <w:tr>
        <w:trPr>
          <w:cantSplit/>
          <w:trHeight w:val="360" w:hRule="auto"/>
        </w:trPr>
        <w:tc>
          <w:tcPr>
            <w:gridSpan w:val="8"/>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Each D1–D5 cell gives Low / Some concerns / High counts; 102 trials. Source journals and years are in main Table 1. ACL, anterior cruciate ligament; CDK4/6, cyclin-dependent kinases 4 and 6; eGFR, estimated glomerular filtration rate; GLP-1, glucagon-like peptide-1; HER2, human epidermal growth factor receptor 2; HR, hormone receptor; IgA, immunoglobulin A; SGLT2, sodium-glucose cotransporter 2.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 Process metrics: Sonnet 5.5</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1872"/>
        <w:gridCol w:w="1872"/>
        <w:gridCol w:w="26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Metric</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Paired mean difference (95% CI)</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 (minutes/trial)</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 [6.1–10.5]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 [0.4–0.5]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 (8.4–14.1)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Cost (USD/trial)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 [3.46–4.10]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 [0.07–0.13]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3.68 (3.61–3.75)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Input tokens (count/trial)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 [86–104]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90 (88–92)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Cache creation tokens (millions/trial)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0.49 [0.46–0.54]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[0.01–0.03]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0.48 (0.47–0.49)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Cache read tokens (millions/trial)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4.96 [4.48–5.59]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[0.02–0.02]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4.99 (4.87–5.12)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Output tokens (thousands/trial)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 [18.9–24.3]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 [1.9–2.9]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19.5 (18.8–20.1)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Thinking tokens (thousands/trial)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 [2.6–4.2]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 [0.7–1.3]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(2.3–2.7)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Agent steps/trial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60.0 [54.0–71.8]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 [4.0–5.0]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58.6 (56.9–60.3)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Continue prompts/trial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(0.0–0.0)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Turns/trial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[2.0–2.0]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 [1.0–1.0]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 (1.0–1.0)</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Per trial: median [IQR]; paired mean ARBITER minus Unassisted difference (95% CI). USD denotes API list-price equivalents, not expenditure. Thinking is included in output.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3. Process metrics: Haiku 5.5</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1872"/>
        <w:gridCol w:w="1872"/>
        <w:gridCol w:w="26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Metric</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Paired mean difference (95% CI)</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Time (minutes/trial)</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 [6.8–9.3]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 [0.9–1.4]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 (7.9–12.7)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Cost (USD/trial)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 [0.99–1.23]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1.14 (1.09–1.18)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Input tokens (count/trial)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116 [102–124]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 [6–10]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 (104–110)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Cache creation tokens (millions/trial)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0.57 [0.51–0.62]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[0.03–0.06]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0.52 (0.51–0.54)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Cache read tokens (millions/trial)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5.79 [5.25–6.30]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[0.02–0.13]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5.66 (5.50–5.83)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Output tokens (thousands/trial)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55.8 [48.4–63.8]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12.0 [9.6–15.2]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43.7 (41.7–45.7)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Thinking tokens (thousands/trial)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27.7 [23.7–32.4]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[7.7–13.0]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 (16.9–19.4)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Agent steps/trial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68.0 [63.0–74.0]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 [5.0–9.0]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61.3 (59.4–63.1)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Continue prompts/trial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(0.0–0.1)</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Turns/trial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[2.0–2.0]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 [1.0–1.0]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 (1.0–1.1)</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Exploratory; per-trial median [IQR] and paired mean difference (95% CI). USD denotes API list-price equivalents. Reconstruction bounds are in the cost table below.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4. Agreement against Published, all sources and domains</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1224"/>
        <w:gridCol w:w="1224"/>
        <w:gridCol w:w="2160"/>
        <w:gridCol w:w="2232"/>
        <w:gridCol w:w="2160"/>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 for Not 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Specificity for Not Low</w:t>
            </w:r>
          </w:p>
        </w:tc>
      </w:tr>
      <w:tr>
        <w:trPr>
          <w:cantSplit/>
          <w:trHeight w:val="480" w:hRule="auto"/>
        </w:trPr>
        <w:tc>
          <w:tcPr>
            <w:gridSpan w:val="6"/>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0.34 (0.26–0.42)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0.81 (0.78–0.84)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386/510 (75.7%) (72.4–79.0)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55/83 (66.3%) (57.3–74.7)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347/427 (81.3%) (77.7–84.7)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0.38 (0.19–0.55)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0.84 (0.78–0.89)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82/102 (80.4%) (74.5–86.3)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10/18 (55.6%) (35.0–77.8)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75/84 (89.3%) (83.2–95.1)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(−0.15 to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0.77 (0.69–0.84)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71/102 (69.6%) (61.8–77.5)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3/16 (18.8%) (0.0–37.5)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69/86 (80.2%) (72.6–87.4)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0.43 (0.29–0.57)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 (0.68–0.84)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75/102 (73.5%) (66.7–80.4)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17/19 (89.5%) (73.9–100.0)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66/83 (79.5%) (72.6–86.4)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0.57 (0.33–0.78)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0.95 (0.91–0.98)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93/102 (91.2%) (86.3–96.1)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 (77.8%) (50.0–100.0)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87/93 (93.5%) (88.9–97.8)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 (0.20–0.41)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0.71 (0.64–0.77)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65/102 (63.7%) (56.9–71.6)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18/21 (85.7%) (75.0–95.5)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50/81 (61.7%) (53.1–70.4)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0.44 (0.32–0.56)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 (0.39–0.60)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47/81 (58.0%) (49.4–66.7)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36/39 (92.3%) (83.7–100.0)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23/42 (54.8%) (44.2–67.4)</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0.28 (0.21–0.35)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0.82 (0.79–0.85)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395/510 (77.5%) (74.1–80.8)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42/83 (50.6%) (40.3–60.2)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366/427 (85.7%) (82.1–89.3)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0.39 (0.21–0.55)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0.85 (0.79–0.90)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82/102 (80.4%) (74.5–86.3)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11/18 (61.1%) (40.0–81.8)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75/84 (89.3%) (83.3–95.1)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 (−0.10 to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0.79 (0.72–0.85)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73/102 (71.6%) (64.7–78.4)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4/16 (25.0%) (6.7–45.5)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71/86 (82.6%) (76.1–89.0)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0.29 (0.13–0.44)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 (0.67–0.83)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77/102 (75.5%) (68.6–82.4)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11/19 (57.9%) (38.9–76.5)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70/83 (84.3%) (77.9–90.7)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0.43 (0.22–0.61)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0.94 (0.90–0.97)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91/102 (89.2%) (83.3–94.1)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 (55.6%) (28.6–85.7)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89/93 (95.7%) (92.0–98.9)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 (0.07–0.43)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0.76 (0.69–0.83)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72/102 (70.6%) (63.7–78.4)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11/21 (52.4%) (34.8–71.4)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61/81 (75.3%) (67.9–82.9)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0.42 (0.27–0.56)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0.53 (0.43–0.64)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48/81 (59.3%) (50.6–67.9)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25/39 (64.1%) (50.0–77.8)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32/42 (76.2%) (65.9–86.8)</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All-Low rule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427/510 (83.7%) (81.0–86.5)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427/427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84/102 (82.4%) (76.5–88.2)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84/84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86/102 (84.3%) (78.4–90.2)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86/86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83/102 (81.4%) (76.5–86.3)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83/83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93/102 (91.2%) (86.3–96.1)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93/93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81/102 (79.4%) (74.5–84.3)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81/81 (100.0%)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42/81 (51.9%) (44.4–59.3)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42/42 (100.0%)</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0.29 (0.22–0.36)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0.72 (0.67–0.77)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355/510 (69.6%) (65.9–73.1)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64/83 (77.1%) (67.5–86.2)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311/427 (72.8%) (69.2–76.3)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0.40 (0.21–0.58)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0.84 (0.77–0.90)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82/102 (80.4%) (73.5–86.3)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11/18 (61.1%) (40.0–81.0)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74/84 (88.1%) (81.0–94.3)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 (0.03–0.26)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0.62 (0.53–0.71)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60/102 (58.8%) (51.0–66.7)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11/16 (68.8%) (47.4–87.5)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53/86 (61.6%) (53.9–69.5)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0.37 (0.24–0.51)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0.68 (0.58–0.77)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72/102 (70.6%) (63.7–77.5)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17/19 (89.5%)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63/83 (75.9%) (68.6–82.9)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0.36 (0.18–0.55)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0.88 (0.82–0.94)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87/102 (85.3%) (78.4–91.2)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 (77.8%) (50.0–100.0)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82/93 (88.2%) (81.9–93.7)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 (0.08–0.26)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0.54 (0.45–0.63)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54/102 (52.9%) (46.1–59.8)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18/21 (85.7%) (71.4–100.0)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39/81 (48.1%) (40.7–56.0)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0.37 (0.26–0.48)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0.34 (0.20–0.48)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43/81 (53.1%) (44.4–61.7)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39/39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15/42 (35.7%) (27.7–44.7)</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 (0.19–0.32)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 (0.65–0.73)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336/510 (65.9%) (62.4–69.4)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67/83 (80.7%) (71.9–88.5)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289/427 (67.7%) (63.9–71.4)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0.40 (0.24–0.54)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0.80 (0.72–0.86)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77/102 (75.5%) (68.6–82.4)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15/18 (83.3%) (64.7–100.0)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67/84 (79.8%) (71.9–87.2)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 (0.03–0.31)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0.68 (0.61–0.75)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64/102 (62.7%) (55.9–69.6)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11/16 (68.8%) (46.7–88.9)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54/86 (62.8%) (56.2–69.6)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 (0.12–0.40)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0.67 (0.58–0.76)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68/102 (66.7%) (59.8–73.5)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14/19 (73.7%) (53.3–91.7)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60/83 (72.3%) (65.1–79.3)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0.22 (0.09–0.34)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0.79 (0.72–0.86)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73/102 (71.6%) (63.7–79.4)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 (77.8%) (50.0–100.0)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70/93 (75.3%) (67.4–83.0)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0.21 (0.13–0.31)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 (0.39–0.60)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54/102 (52.9%) (45.1–60.8)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20/21 (95.2%) (85.0–100.0)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38/81 (46.9%) (39.0–54.9)</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0.27 (0.16–0.38)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0.28 (0.15–0.43)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35/81 (43.2%) (34.6–53.1)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38/39 (97.4%) (92.3–100.0)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9/42 (21.4%) (13.3–30.8)</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Linearly weighted Cohen’s κ and Gwet’s AC2. Exact agreement, sensitivity and specificity are n/N (%); their CI bounds are percentages. Not Low means Some concerns or High. All-Low rule has no variance; only accuracy and specificity are reported. Paired differences are on the coefficient scale or in percentage points; — indicates undefined or not applicable.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5. Agreement against the composite reference, Sonnet only</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232"/>
        <w:gridCol w:w="2232"/>
        <w:gridCol w:w="44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r>
      <w:tr>
        <w:trPr>
          <w:cantSplit/>
          <w:trHeight w:val="480" w:hRule="auto"/>
        </w:trPr>
        <w:tc>
          <w:tcPr>
            <w:gridSpan w:val="4"/>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0.94 (0.91–0.97)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0.98 (0.97–0.99)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472/485 (97.3%) (95.9–98.6)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 (0.98–1.00)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97/98 (99.0%) (96.9–100.0)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0.80 (0.61–0.93)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 (0.93–0.99)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88/94 (93.6%) (88.7–97.9)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0.98 (0.96–1.00)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92/94 (97.9%) (94.7–100.0)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 (0.80–1.00)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 (0.97–1.00)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99/101 (98.0%) (95.1–100.0)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 (0.91–1.00)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0.98 (0.96–1.00)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96/98 (98.0%) (95.8–100.0)</w:t>
            </w:r>
          </w:p>
        </w:tc>
      </w:tr>
      <w:tr>
        <w:trPr>
          <w:cantSplit/>
          <w:trHeight w:val="48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 (0.62–0.76)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0.91 (0.88–0.93)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425/485 (87.6%) (85.2–90.0)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0.89 (0.77–1.00)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(0.94–1.00)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95/98 (96.9%) (93.8–100.0)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0.42 (0.14–0.65)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0.88 (0.82–0.92)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78/94 (83.0%) (76.7–89.1)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0.78 (0.65–0.89)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 (0.85–0.95)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83/94 (88.3%) (82.3–93.8)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 (0.48–0.86)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 (0.93–0.98)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94/101 (93.1%) (88.2–97.0)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0.55 (0.44–0.67)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0.80 (0.74–0.86)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75/98 (76.5%) (69.7–83.2)</w:t>
            </w:r>
          </w:p>
        </w:tc>
      </w:tr>
      <w:tr>
        <w:trPr>
          <w:cantSplit/>
          <w:trHeight w:val="48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All-Low rule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358/485 (73.8%) (70.6–77.0)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78/98 (79.6%) (73.5–85.7)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79/94 (84.0%) (77.7–90.4)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66/94 (70.2%) (63.5–76.8)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87/101 (86.1%) (80.4–91.2)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48/98 (49.0%) (41.7–56.6)</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Linearly weighted Cohen’s κ and Gwet’s AC2. Exact agreement, sensitivity and specificity are n/N (%); their CI bounds are percentages. Not Low means Some concerns or High. All-Low rule has no variance; only accuracy and specificity are reported. Paired differences are on the coefficient scale or in percentage points; — indicates undefined or not applicable. Composite reference: consensus preferred judgement on consensus cells, Published on other cells; 25 split cells excluded (485 cells per arm). Adjudicators could only choose among the three labels offered. Cells where both Sonnet arms matched Published were never adjudicated and are assumed correct. Both features inflate absolute composite values.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6. RoB 2 consistency and structural audit, all sources and domains</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736"/>
        <w:gridCol w:w="1238"/>
        <w:gridCol w:w="1238"/>
        <w:gridCol w:w="1238"/>
        <w:gridCol w:w="1238"/>
        <w:gridCol w:w="123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Measure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101/102 (99.0%)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74/81 (91.4%)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Permitted escalation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6/81 (7.4%)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 (1.2%)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510/510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444/509 (87.2%)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505/505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330/510 (64.7%)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 matches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510/510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505/505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1/505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26/509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0/505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132/510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39/509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0/505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48/510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0/510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65/509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0/505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180/510 (35.3%)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96/101 (95.0%)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92/102 (90.2%)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 matches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1/101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10/102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5/101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10/102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95/102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47/102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 matches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3/102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16/102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4/102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39/102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7/102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55/102 (53.9%)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97/102 (95.1%)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84/102 (82.4%)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 matches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3/102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17/102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2/102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5/102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18/102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67/102 (65.7%)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60/102 (58.8%)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 matches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3/102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35/102 (34.3%)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32/102 (31.4%)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7/102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35/102 (34.3%)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42/102 (41.2%)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Consistent with RoB 2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89/102 (87.3%)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47/102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 matches algorithm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101/101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override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Contradicts own answers (violation)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12/102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54/102 (52.9%)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question skipped (invalid path)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Any departure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0/102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13/102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55/102 (53.9%)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Signalling answers citing ≥1 evidence record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1538/1538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1552/1552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Bundle passes independent verification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102/102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All evidence bound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1421/1421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1260/1260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Text spans bound to captured 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1407/1407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1255/1255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Visual regions bound to rendered page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14/14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 evidence records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0/1421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0/1260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Audit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Trials using visual evidence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8/102 (7.8%)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4/102 (3.9%)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360" w:hRule="auto"/>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Values are n/N (%). Proposed judgements determine ARBITER domain consistency; adopted overrides are separate. Overall exact worst-domain agreement and permitted escalation are separate. Evidence coverage uses active signalling answers as the denominator and answers citing at least one evidence record as the numerator. Unassisted and Published evidence traces are unavailable. Binding and independent verification are structural checks, not clinical correctness. Visual transcriptions are model-written and not checked against images.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7. Invalid answer path sensitivity</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1152"/>
        <w:gridCol w:w="1944"/>
        <w:gridCol w:w="1728"/>
        <w:gridCol w:w="2088"/>
        <w:gridCol w:w="201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Evaluable (n)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Original violations (n)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Invalid paths (n)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Additional violations (n)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Total violations (n)</w:t>
            </w:r>
          </w:p>
        </w:tc>
      </w:tr>
      <w:tr>
        <w:trPr>
          <w:cantSplit/>
          <w:trHeight w:val="480" w:hRule="auto"/>
        </w:trPr>
        <w:tc>
          <w:tcPr>
            <w:gridSpan w:val="6"/>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 — replacement: N/PN</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 — replacement: NI</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 — replacement: N/PN</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 — replacement: NI</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Required invalid answers recursively resolve as N/PN then NI, including newly required questions. No off-path imputation; these are counts, not new assessments.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8. API cost reconstruction: estimates and bounds</w:t>
      </w:r>
    </w:p>
    <w:tbl xmlns:a="http://schemas.openxmlformats.org/drawingml/2006/main" xmlns:pic="http://schemas.openxmlformats.org/drawingml/2006/picture">
      <w:tblPr>
        <w:tblLayout w:type="fixed"/>
        <w:jc w:val="center"/>
        <w:tblLook w:firstRow="1" w:lastRow="0" w:firstColumn="0" w:lastColumn="0" w:noHBand="0" w:noVBand="1"/>
      </w:tblPr>
      <w:tblGrid>
        <w:gridCol w:w="3816"/>
        <w:gridCol w:w="1512"/>
        <w:gridCol w:w="1512"/>
        <w:gridCol w:w="1512"/>
        <w:gridCol w:w="1512"/>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Measure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 estimate: total (USD)</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386.07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117.63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 estimate: median per trial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Lower reconstruction bound: total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Lower bound: median per trial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Upper reconstruction bound: total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Upper bound: median per trial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Harness diagnostic: total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1447.29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80.10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Harness diagnostic: median per trial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5-minute write sensitivity: total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5-minute write sensitivity: median per trial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5-minute sensitivity lower bound: total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5-minute sensitivity lower bound: median per trial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5-minute sensitivity upper bound: total (USD)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5-minute sensitivity upper bound: median per trial (USD)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w:t>
            </w:r>
          </w:p>
        </w:tc>
      </w:tr>
      <w:tr>
        <w:trPr>
          <w:cantSplit/>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USD. Reconstruction bounds are not sampling CIs. Five-minute side-call cache writes are a sensitivity. Harness figures are unusable: unrecognised model and unknown cost basis.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9. Token reconciliation and compaction diagnostics</w:t>
      </w:r>
    </w:p>
    <w:tbl xmlns:a="http://schemas.openxmlformats.org/drawingml/2006/main" xmlns:pic="http://schemas.openxmlformats.org/drawingml/2006/picture">
      <w:tblPr>
        <w:tblLayout w:type="fixed"/>
        <w:jc w:val="center"/>
        <w:tblLook w:firstRow="1" w:lastRow="0" w:firstColumn="0" w:lastColumn="0" w:noHBand="0" w:noVBand="1"/>
      </w:tblPr>
      <w:tblGrid>
        <w:gridCol w:w="3816"/>
        <w:gridCol w:w="1512"/>
        <w:gridCol w:w="1512"/>
        <w:gridCol w:w="1512"/>
        <w:gridCol w:w="1512"/>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Measure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Main-thread request input tokens (n)</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9,794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11,760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Main-thread request 1-hour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50,698,919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1,910,531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57,557,731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4,432,900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Main-thread request 5-minute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Main-thread request cache read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512,761,030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3,585,005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584,364,182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8,581,878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input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1-hour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50,695,878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1,910,531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57,619,249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4,432,900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5-minute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cache read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512,867,801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3,585,005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586,216,581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8,581,878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output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2,237,043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248,579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5,718,801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1,258,831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Side-call input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5,777,447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4,772,002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Side-call 1-hour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13,464,429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19,882,918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Side-call 5-minute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Side-call cache read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203,137,779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237,650,013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Side-call output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2,388,538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4,457,402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minus request input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minus request 1-hour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minus request 5-minute cache write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Terminal minus request cache read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1,852,399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Main-thread requests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Requests with prompts &gt;100,000 tokens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Compaction events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Turns with side calls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Turns with request counts above terminal counts (n)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Side-call turns without compaction (n)</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Token totals across trials. Terminal minus request is signed, including retry residuals. Side calls are total model usage minus terminal usage; output already includes thinking.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10. Confusion matrices against Published</w:t>
      </w:r>
    </w:p>
    <w:p>
      <w:pPr>
        <w:pStyle w:val="Titre2"/>
      </w:pPr>
      <w:r>
        <w:t xml:space="preserve">ARBITER (Sonnet 5.5) — D1</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bl>
    <w:p>
      <w:pPr>
        <w:pStyle w:val="Titre2"/>
      </w:pPr>
      <w:r>
        <w:t xml:space="preserve">ARBITER (Sonnet 5.5) — D2</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(Sonnet 5.5) — D3</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bl>
    <w:p>
      <w:pPr>
        <w:pStyle w:val="Titre2"/>
      </w:pPr>
      <w:r>
        <w:t xml:space="preserve">ARBITER (Sonnet 5.5) — D4</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(Sonnet 5.5) — D5</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(Sonnet 5.5) — Overall</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Each grid contains counts of cells: Published rows × predicted columns, ordered Low / Some concerns / High. Missing predictions appear only when nonzero. Overall uses the 81 labelled trials.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10 (continued). Confusion matrices against Published</w:t>
      </w:r>
    </w:p>
    <w:p>
      <w:pPr>
        <w:pStyle w:val="Titre2"/>
      </w:pPr>
      <w:r>
        <w:t xml:space="preserve">Unassisted (Sonnet 5.5) — D1</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Unassisted (Sonnet 5.5) — D2</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Unassisted (Sonnet 5.5) — D3</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bl>
    <w:p>
      <w:pPr>
        <w:pStyle w:val="Titre2"/>
      </w:pPr>
      <w:r>
        <w:t xml:space="preserve">Unassisted (Sonnet 5.5) — D4</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Unassisted (Sonnet 5.5) — D5</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bl>
    <w:p>
      <w:pPr>
        <w:pStyle w:val="Titre2"/>
      </w:pPr>
      <w:r>
        <w:t xml:space="preserve">Unassisted (Sonnet 5.5) — Overall</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Each grid contains counts of cells: Published rows × predicted columns, ordered Low / Some concerns / High. Missing predictions appear only when nonzero. Overall uses the 81 labelled trials.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10 (continued). Confusion matrices against Published</w:t>
      </w:r>
    </w:p>
    <w:p>
      <w:pPr>
        <w:pStyle w:val="Titre2"/>
      </w:pPr>
      <w:r>
        <w:t xml:space="preserve">ARBITER (Haiku 5.5) — D1</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1728"/>
        <w:gridCol w:w="1728"/>
        <w:gridCol w:w="1728"/>
        <w:gridCol w:w="172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Missing</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(Haiku 5.5) — D2</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1728"/>
        <w:gridCol w:w="1728"/>
        <w:gridCol w:w="1728"/>
        <w:gridCol w:w="172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Missing</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(Haiku 5.5) — D3</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1728"/>
        <w:gridCol w:w="1728"/>
        <w:gridCol w:w="1728"/>
        <w:gridCol w:w="172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Missing</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(Haiku 5.5) — D4</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1728"/>
        <w:gridCol w:w="1728"/>
        <w:gridCol w:w="1728"/>
        <w:gridCol w:w="172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Missing</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(Haiku 5.5) — D5</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1728"/>
        <w:gridCol w:w="1728"/>
        <w:gridCol w:w="1728"/>
        <w:gridCol w:w="172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Missing</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ARBITER (Haiku 5.5) — Overall</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1728"/>
        <w:gridCol w:w="1728"/>
        <w:gridCol w:w="1728"/>
        <w:gridCol w:w="1728"/>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Missing</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360" w:hRule="auto"/>
        </w:trPr>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Each grid contains counts of cells: Published rows × predicted columns, ordered Low / Some concerns / High. Missing predictions appear only when nonzero. Overall uses the 81 labelled trials.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10 (continued). Confusion matrices against Published</w:t>
      </w:r>
    </w:p>
    <w:p>
      <w:pPr>
        <w:pStyle w:val="Titre2"/>
      </w:pPr>
      <w:r>
        <w:t xml:space="preserve">Unassisted (Haiku 5.5) — D1</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Unassisted (Haiku 5.5) — D2</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Unassisted (Haiku 5.5) — D3</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bl>
    <w:p>
      <w:pPr>
        <w:pStyle w:val="Titre2"/>
      </w:pPr>
      <w:r>
        <w:t xml:space="preserve">Unassisted (Haiku 5.5) — D4</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Titre2"/>
      </w:pPr>
      <w:r>
        <w:t xml:space="preserve">Unassisted (Haiku 5.5) — D5</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bl>
    <w:p>
      <w:pPr>
        <w:pStyle w:val="Titre2"/>
      </w:pPr>
      <w:r>
        <w:t xml:space="preserve">Unassisted (Haiku 5.5) — Overall</w:t>
      </w:r>
    </w:p>
    <w:tbl xmlns:a="http://schemas.openxmlformats.org/drawingml/2006/main" xmlns:pic="http://schemas.openxmlformats.org/drawingml/2006/picture">
      <w:tblPr>
        <w:tblLayout w:type="fixed"/>
        <w:jc w:val="center"/>
        <w:tblLook w:firstRow="1" w:lastRow="0" w:firstColumn="0" w:lastColumn="0" w:noHBand="0" w:noVBand="1"/>
      </w:tblPr>
      <w:tblGrid>
        <w:gridCol w:w="2952"/>
        <w:gridCol w:w="2304"/>
        <w:gridCol w:w="2304"/>
        <w:gridCol w:w="230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Published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Some concerns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High</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High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Each grid contains counts of cells: Published rows × predicted columns, ordered Low / Some concerns / High. Missing predictions appear only when nonzero. Overall uses the 81 labelled trials.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11. Per-meta-analysis weighted κ</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3096"/>
        <w:gridCol w:w="1296"/>
        <w:gridCol w:w="1296"/>
        <w:gridCol w:w="1296"/>
        <w:gridCol w:w="129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Specialty</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Topic</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General medicine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Clopidogrel vs aspirin for secondary prevention of coronary artery disease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 (−0.17 to 0.72)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 (−0.14 to 0.46)</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0.28 (0.05–0.61)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 (−0.09 to 0.39)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General medicine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SGLT2 inhibitors and kidney outcomes across eGFR and albuminuria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Cardiology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Early aortic valve replacement vs surveillance in asymptomatic severe aortic stenosis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Endocrinology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GLP-1 receptor agonists and kidney and cardiovascular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Gastroenterology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GLP-1 receptor agonists and gastrointestinal adverse events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0.36 (0.00–0.68)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0.37 (0.00–0.48)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 (0.00–0.84)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0.28 (0.00–0.52)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Infectious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Safety of high-dose rifampin in tuberculosis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Nephrology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Therapies for proteinuria and eGFR decline in IgA nephropathy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 (−0.12 to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0.32 (−0.05 to 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 (−0.10 to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0.46 (0.09–0.77)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Neurology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Pharmacotherapy and non-invasive neuromodulation for neuropathic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0.41 (0.10–0.73)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 (−0.15 to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0.41 (0.17–0.70)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0.33 (0.09–0.64)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Obstetrics and gynaecology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Preconception lifestyle interventions for women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 (0.32–0.67)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0.42 (0.20–0.70)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0.42 (0.28–0.53)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0.20 (0.06–0.33)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Oncology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CDK4/6 inhibitors plus endocrine therapy in HR-positive, HER2-negative advanced breast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Orthopaedics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Lateral extra-articular procedure added to primary ACL reconstruction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(−0.14 to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(−0.14 to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(−0.15 to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 (−0.17 to 0.14)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Paediatrics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Active treatment vs expectant management of patent ductus arteriosus in preterm infants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 (−0.16 to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 (−0.18 to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 (−0.08 to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0.27 (0.06–0.57)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Psychiatry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Cannabinoids for mental and substance use disorders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(−0.30 to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−0.13 (−0.32 to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(−0.32 to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 (−0.36 to 0.27)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Pulmonary and critical care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Preoxygenation strategies for intubation in critically ill patients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 (−0.04 to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 (−0.16 to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 (−0.09 to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(−0.14 to 0.19)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Rheumatology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Long-term effectiveness of non-surgical interventions for chronic low back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0.52 (0.38–0.62)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0.39 (0.12–0.62)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0.46 (0.26–0.71)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0.23 (−0.05 to 0.46)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Surgery and anaesthesia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Home-based prehabilitation before surgery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 (−0.30 to 0.07)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 (−0.24 to 0.16)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(−0.20 to 0.14)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(−0.13 to 0.11)</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ACL, anterior cruciate ligament; CDK4/6, cyclin-dependent kinases 4 and 6; eGFR, estimated glomerular filtration rate; GLP-1, glucagon-like peptide-1; HER2, human epidermal growth factor receptor 2; HR, hormone receptor; IgA, immunoglobulin A; SGLT2, sodium-glucose cotransporter 2. Weighted κ (95% CI). eFigure 1 displays the defined nondegenerate estimates. A coefficient with no variance, or a degenerate bootstrap interval, is shown as —.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eFigure 1. Agreement against Published by meta-analysis</w:t>
      </w:r>
    </w:p>
    <w:p>
      <w:pPr>
        <w:pStyle w:val="Normal"/>
      </w:pPr>
      <w:r>
        <w:rPr/>
        <w:drawing>
          <wp:inline distT="0" distB="0" distL="0" distR="0">
            <wp:extent cx="6126480" cy="7041931"/>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6126480" cy="7041931"/>
                    </a:xfrm>
                    <a:prstGeom prst="rect">
                      <a:avLst/>
                    </a:prstGeom>
                    <a:noFill/>
                  </pic:spPr>
                </pic:pic>
              </a:graphicData>
            </a:graphic>
          </wp:inline>
        </w:drawing>
      </w:r>
    </w:p>
    <w:p>
      <w:pPr>
        <w:pStyle w:val="ManuscriptBody"/>
      </w:pPr>
      <w:r>
        <w:t xml:space="preserve">Weighted kappa and 95% CIs; source symbols distinguish model and assistance. Undefined coefficients are omitted. Specialty and topic identify each meta-analysis. Descriptive estimates only; no statistical tests. CI, confidence interval; 10,000 percentile bootstrap replicates, trials resampled within meta-analysis; seed 20261018.</w:t>
      </w:r>
    </w:p>
    <w:p>
      <w:pPr/>
      <w:r>
        <w:br w:type="page"/>
      </w:r>
    </w:p>
    <w:p>
      <w:pPr>
        <w:pStyle w:val="Titre2"/>
      </w:pPr>
      <w:r>
        <w:t xml:space="preserve">eTable 12. Post hoc severity-stratified win share</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3456"/>
        <w:gridCol w:w="381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Direction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Measure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Estimate (95% CI)</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more severe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44/45 (97.8%) (92.7–100.0)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1/45 (2.2%) (0.0–7.3)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Neither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 (0.0%)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10/17 (58.8%) (35.7–80.0)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6/17 (35.3%) (14.3–57.9)</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less severe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Neither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1/17 (5.9%) (0.0–18.2)</w:t>
            </w:r>
          </w:p>
        </w:tc>
      </w:tr>
      <w:tr>
        <w:trPr>
          <w:cantSplit/>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Post hoc Sonnet 5.5 analysis of the 62 consensus discordant cells, stratified by ARBITER severity relative to Unassisted. ARBITER more severe: 44 ARBITER wins, 1 Unassisted, 0 neither (45 cells); less severe: 10, 6, 1 (17 cells).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13. Vindicated disagreements with Published, including split cells</w:t>
      </w:r>
    </w:p>
    <w:tbl xmlns:a="http://schemas.openxmlformats.org/drawingml/2006/main" xmlns:pic="http://schemas.openxmlformats.org/drawingml/2006/picture">
      <w:tblPr>
        <w:tblLayout w:type="fixed"/>
        <w:jc w:val="center"/>
        <w:tblLook w:firstRow="1" w:lastRow="0" w:firstColumn="0" w:lastColumn="0" w:noHBand="0" w:noVBand="1"/>
      </w:tblPr>
      <w:tblGrid>
        <w:gridCol w:w="1644"/>
        <w:gridCol w:w="1644"/>
        <w:gridCol w:w="1644"/>
        <w:gridCol w:w="1644"/>
        <w:gridCol w:w="1644"/>
        <w:gridCol w:w="164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Source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Direction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Outcome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Eligible cells (n)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Consensus 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All n</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 label</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Published upheld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Vindicated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 label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Published upheld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Vindicated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 label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Published upheld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Vindicated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Other label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Published upheld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severe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Vindicated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Both sources use Sonnet 5.5. Figure 5B uses consensus disagreements as the denominator; split cells are displayed separately. Vindicated means preferred equals the source label; Published upheld means preferred equals Published; Other label means neither. Counts, consensus denominator and all-cell denominator are shown.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14. Per-adjudicator and split-cell win-share sensitivity</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3456"/>
        <w:gridCol w:w="381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Analysis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Measure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Estimate (95% CI)</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Consensus</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54/62 (87.1%) (79.0–94.3)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7/62 (11.3%) (4.5–19.2)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Neither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1/62 (1.6%) (0.0–4.8)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60/80 (75.0%) (66.7–83.3)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16/80 (20.0%) (11.7–28.9)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Neither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4/80 (5.0%) (1.3–9.2)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64/80 (80.0%) (72.3–87.2)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15/80 (18.8%) (11.6–26.3)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Neither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1/80 (1.2%) (0.0–3.8)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54/80 (67.5%) (58.7–76.3)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7/80 (8.8%) (3.5–15.0)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Split sensitivity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Neither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19/80 (23.8%) (16.0–31.3)</w:t>
            </w:r>
          </w:p>
        </w:tc>
      </w:tr>
      <w:tr>
        <w:trPr>
          <w:cantSplit/>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Consensus is primary. Split discordant cells are forced ARBITER losses; the residual Neither category includes these forced losses.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15. Paired differences against Published</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1224"/>
        <w:gridCol w:w="1224"/>
        <w:gridCol w:w="2160"/>
        <w:gridCol w:w="2232"/>
        <w:gridCol w:w="2160"/>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 for Not 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Specificity for Not Low</w:t>
            </w:r>
          </w:p>
        </w:tc>
      </w:tr>
      <w:tr>
        <w:trPr>
          <w:cantSplit/>
          <w:trHeight w:val="480" w:hRule="auto"/>
        </w:trPr>
        <w:tc>
          <w:tcPr>
            <w:gridSpan w:val="6"/>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 minus 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 (−0.03 to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(−0.04 to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 (−5.1 to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15.7 (6.8–24.4)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 (−7.6 to −1.2)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(−0.12 to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(−0.04 to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(−3.9 to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 (−16.7 to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(−2.6 to 2.6)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 (−0.24 to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(−0.09 to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(−9.8 to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 (−26.7 to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 (−11.5 to 6.6)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 (0.01–0.28)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 (−0.05 to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(−7.8 to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31.6 (13.6–47.6)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 (−10.5 to 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0.13 (−0.08 to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(−0.02 to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(−3.9 to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22.2 (0.0–50.0)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 (−6.6 to 2.2)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(−0.15 to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(−0.13 to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 (−15.7 to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33.3 (11.8–52.9)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−13.6 (−22.0 to −5.0)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(−0.11 to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(−0.16 to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 (−11.1 to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28.2 (16.1–40.5)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 (−32.7 to −9.8)</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 minus Unassisted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(−0.04 to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(−0.02 to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 (−0.2 to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 (−13.9 to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 (1.2–8.9)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(−0.16 to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(−0.02 to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 (−2.0 to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−22.2 (−41.2 to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8.3 (1.3–15.2)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(−0.16 to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 (−0.17 to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 (−13.7 to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(−22.2 to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 (−10.7 to 8.1)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 (−0.04 to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(−0.07 to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 (−3.9 to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15.8 (−10.5 to 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 (−2.3 to 9.5)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 (−0.01 to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 (0.02–0.16)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13.7 (5.9–20.6)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(−30.0 to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12.9 (5.5–20.2)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(−0.16 to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(−0.07 to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(−8.8 to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 (−26.1 to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 (−8.9 to 11.2)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0.10 (−0.03 to 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(−0.09 to 0.19)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 (−1.2 to 19.8)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 (0.0–7.7)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14.3 (4.4–25.0)</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minus Unassisted; coefficients in original units, proportions in percentage points.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16. Paired differences against the composite reference</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232"/>
        <w:gridCol w:w="2232"/>
        <w:gridCol w:w="44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r>
      <w:tr>
        <w:trPr>
          <w:cantSplit/>
          <w:trHeight w:val="480" w:hRule="auto"/>
        </w:trPr>
        <w:tc>
          <w:tcPr>
            <w:gridSpan w:val="4"/>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 minus 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 (0.18–0.33)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 (0.05–0.10)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 (7.0–12.4)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 (0.00–0.20)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(0.00–0.05)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 (0.0–5.1)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0.38 (0.12–0.68)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 (0.03–0.14)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10.6 (3.2–18.1)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 (0.07–0.32)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 (0.03–0.14)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 (3.4–15.8)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0.23 (0.00–0.48)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(0.0–10.0)</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0.41 (0.28–0.52)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 (0.12–0.24)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 (14.3–28.3)</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minus Unassisted; coefficients in original units, proportions in percentage points. Composite reference: consensus preferred judgement on consensus cells, Published on other cells; 25 split cells excluded (485 cells per arm). Adjudicators could only choose among the three labels offered. Cells where both Sonnet arms matched Published were never adjudicated and are assumed correct. Both features inflate absolute composite values.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17. Composite sensitivity using Adjudicator 1</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232"/>
        <w:gridCol w:w="2232"/>
        <w:gridCol w:w="44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r>
      <w:tr>
        <w:trPr>
          <w:cantSplit/>
          <w:trHeight w:val="480" w:hRule="auto"/>
        </w:trPr>
        <w:tc>
          <w:tcPr>
            <w:gridSpan w:val="4"/>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0.86 (0.81–0.90)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0.95 (0.93–0.97)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479/510 (93.9%) (92.0–95.9)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 (0.81–0.98)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(0.95–0.99)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98/102 (96.1%) (93.1–99.0)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0.70 (0.50–0.85)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 (0.87–0.96)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92/102 (90.2%) (85.3–95.1)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0.83 (0.72–0.92)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 (0.84–0.95)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92/102 (90.2%) (85.3–95.1)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0.92 (0.80–1.00)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 (0.97–1.00)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100/102 (98.0%) (95.1–100.0)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 (0.82–0.96)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 (0.92–0.98)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97/102 (95.1%) (91.2–98.0)</w:t>
            </w:r>
          </w:p>
        </w:tc>
      </w:tr>
      <w:tr>
        <w:trPr>
          <w:cantSplit/>
          <w:trHeight w:val="48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0.65 (0.58–0.72)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0.88 (0.85–0.90)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435/510 (85.3%) (82.5–87.8)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0.87 (0.75–0.98)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(0.93–0.99)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98/102 (96.1%) (92.2–99.0)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0.35 (0.12–0.55)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0.82 (0.76–0.88)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79/102 (77.5%) (70.6–84.3)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0.71 (0.57–0.83)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0.85 (0.78–0.92)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87/102 (85.3%) (79.4–91.2)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0.68 (0.50–0.84)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0.95 (0.92–0.98)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94/102 (92.2%) (87.3–96.1)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0.54 (0.42–0.66)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0.79 (0.73–0.85)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77/102 (75.5%) (68.6–82.4)</w:t>
            </w:r>
          </w:p>
        </w:tc>
      </w:tr>
      <w:tr>
        <w:trPr>
          <w:cantSplit/>
          <w:trHeight w:val="48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All-Low rule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364/510 (71.4%) (67.8–74.9)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79/102 (77.5%) (70.6–84.3)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81/102 (79.4%) (72.5–86.3)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69/102 (67.6%) (60.8–74.5)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87/102 (85.3%) (79.4–91.2)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48/102 (47.1%) (40.2–54.9)</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 cells per Sonnet arm; this preferred judgement replaces Published on disputed cells. Only three labels were offered; unadjudicated concordant cells are assumed correct, inflating absolute values.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18. Composite paired differences using Adjudicator 1</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232"/>
        <w:gridCol w:w="2232"/>
        <w:gridCol w:w="44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r>
      <w:tr>
        <w:trPr>
          <w:cantSplit/>
          <w:trHeight w:val="480" w:hRule="auto"/>
        </w:trPr>
        <w:tc>
          <w:tcPr>
            <w:gridSpan w:val="4"/>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 minus 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0.21 (0.14–0.29)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 (0.04–0.09)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 (5.7–11.6)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(−0.09 to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 (−0.02 to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(−3.9 to 3.9)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0.35 (0.11–0.62)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 (0.04–0.15)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12.7 (4.9–20.6)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 (−0.02 to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(−0.02 to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 (−2.0 to 11.8)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 (0.02–0.46)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(0.01–0.07)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 (1.0–11.8)</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0.36 (0.22–0.50)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 (0.10–0.23)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19.6 (11.8–27.5)</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Coefficient units or percentage points; 510 cells per arm; no split exclusion. Only offered labels could be preferred; concordant cells are assumed correct.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19. Composite sensitivity using Adjudicator 2</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232"/>
        <w:gridCol w:w="2232"/>
        <w:gridCol w:w="44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r>
      <w:tr>
        <w:trPr>
          <w:cantSplit/>
          <w:trHeight w:val="480" w:hRule="auto"/>
        </w:trPr>
        <w:tc>
          <w:tcPr>
            <w:gridSpan w:val="4"/>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0.91 (0.88–0.94)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(0.96–0.98)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488/510 (95.7%) (94.1–97.1)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0.95 (0.87–1.00)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 (0.97–1.00)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100/102 (98.0%) (95.1–100.0)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0.71 (0.52–0.85)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0.93 (0.88–0.96)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91/102 (89.2%) (83.3–94.1)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 (0.90–1.00)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99/102 (97.1%) (94.1–100.0)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0.89 (0.78–1.00)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0.98 (0.96–1.00)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99/102 (97.1%) (94.1–100.0)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0.94 (0.88–1.00)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0.97 (0.95–1.00)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99/102 (97.1%) (94.1–100.0)</w:t>
            </w:r>
          </w:p>
        </w:tc>
      </w:tr>
      <w:tr>
        <w:trPr>
          <w:cantSplit/>
          <w:trHeight w:val="48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0.67 (0.59–0.73)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0.89 (0.87–0.91)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439/510 (86.1%) (83.3–88.6)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0.82 (0.68–0.94)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0.95 (0.91–0.99)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96/102 (94.1%) (89.2–98.0)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 (0.25–0.70)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0.87 (0.82–0.92)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85/102 (83.3%) (77.5–89.2)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0.72 (0.58–0.83)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0.86 (0.80–0.92)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86/102 (84.3%) (78.4–90.2)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0.73 (0.55–0.88)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0.96 (0.93–0.98)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95/102 (93.1%) (88.2–97.1)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0.52 (0.40–0.65)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0.79 (0.73–0.85)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77/102 (75.5%) (68.6–82.4)</w:t>
            </w:r>
          </w:p>
        </w:tc>
      </w:tr>
      <w:tr>
        <w:trPr>
          <w:cantSplit/>
          <w:trHeight w:val="48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All-Low rule</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372/510 (72.9%) (69.6–76.1)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81/102 (79.4%) (73.5–85.3)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84/102 (82.4%) (76.5–88.2)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68/102 (66.7%) (60.8–72.5)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87/102 (85.3%) (79.4–91.2)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52/102 (51.0%) (44.1–58.8)</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510 cells per Sonnet arm; this preferred judgement replaces Published on disputed cells. Only three labels were offered; unadjudicated concordant cells are assumed correct, inflating absolute values.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20. Composite paired differences using Adjudicator 2</w:t>
      </w:r>
    </w:p>
    <w:tbl xmlns:a="http://schemas.openxmlformats.org/drawingml/2006/main" xmlns:pic="http://schemas.openxmlformats.org/drawingml/2006/picture">
      <w:tblPr>
        <w:tblLayout w:type="fixed"/>
        <w:jc w:val="center"/>
        <w:tblLook w:firstRow="1" w:lastRow="0" w:firstColumn="0" w:lastColumn="0" w:noHBand="0" w:noVBand="1"/>
      </w:tblPr>
      <w:tblGrid>
        <w:gridCol w:w="936"/>
        <w:gridCol w:w="2232"/>
        <w:gridCol w:w="2232"/>
        <w:gridCol w:w="44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r>
      <w:tr>
        <w:trPr>
          <w:cantSplit/>
          <w:trHeight w:val="480" w:hRule="auto"/>
        </w:trPr>
        <w:tc>
          <w:tcPr>
            <w:gridSpan w:val="4"/>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 minus Unassisted (Sonnet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 (0.17–0.32)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 (0.05–0.10)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 (6.9–12.5)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0.13 (0.03–0.25)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(0.01–0.07)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 (1.0–7.8)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0.21 (−0.03 to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(−0.01 to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 (−2.9 to 13.7)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 (0.12–0.38)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 (0.05–0.18)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12.7 (5.9–19.6)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 (−0.06 to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(−0.01 to 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 (−1.0 to 8.8)</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0.42 (0.28–0.54)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 (0.12–0.24)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21.6 (14.7–28.4)</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Coefficient units or percentage points; 510 cells per arm; no split exclusion. Only offered labels could be preferred; concordant cells are assumed correct.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21. Missing-judgement sensitivity: paired observed Haiku cells</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1224"/>
        <w:gridCol w:w="1224"/>
        <w:gridCol w:w="2160"/>
        <w:gridCol w:w="2232"/>
        <w:gridCol w:w="2160"/>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 for Not 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Specificity for Not Low</w:t>
            </w:r>
          </w:p>
        </w:tc>
      </w:tr>
      <w:tr>
        <w:trPr>
          <w:cantSplit/>
          <w:trHeight w:val="480" w:hRule="auto"/>
        </w:trPr>
        <w:tc>
          <w:tcPr>
            <w:gridSpan w:val="6"/>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 (0.24–0.37)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0.74 (0.70–0.77)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355/505 (70.3%) (67.1–73.5)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64/83 (77.1%) (67.5–86.2)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311/422 (73.7%) (70.5–76.8)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0.43 (0.24–0.60)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0.85 (0.79–0.91)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82/101 (81.2%) (75.0–87.3)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11/18 (61.1%) (40.0–81.0)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74/83 (89.2%) (82.4–95.1)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0.15 (0.04–0.27)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0.63 (0.54–0.72)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60/101 (59.4%) (51.5–67.3)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11/16 (68.8%) (47.4–87.5)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53/85 (62.4%) (54.7–70.2)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0.39 (0.25–0.53)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0.70 (0.60–0.78)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72/101 (71.3%) (64.4–78.2)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17/19 (89.5%)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63/82 (76.8%) (69.9–83.8)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0.39 (0.20–0.59)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0.90 (0.84–0.94)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87/101 (86.1%) (79.4–92.1)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 (77.8%) (50.0–100.0)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82/92 (89.1%) (82.8–94.6)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0.18 (0.09–0.27)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0.55 (0.47–0.63)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54/101 (53.5%) (47.0–60.4)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18/21 (85.7%) (71.4–100.0)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39/80 (48.8%) (41.5–56.4)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0.38 (0.27–0.49)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0.36 (0.22–0.50)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43/80 (53.8%) (45.0–62.5)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39/39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15/41 (36.6%) (28.6–45.7)</w:t>
            </w:r>
          </w:p>
        </w:tc>
      </w:tr>
      <w:tr>
        <w:trPr>
          <w:cantSplit/>
          <w:trHeight w:val="48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 (0.19–0.32)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0.69 (0.65–0.73)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332/505 (65.7%) (62.2–69.2)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67/83 (80.7%) (71.9–88.5)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285/422 (67.5%) (63.7–71.3)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0.40 (0.24–0.54)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0.79 (0.72–0.86)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76/101 (75.2%) (68.0–82.4)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15/18 (83.3%) (64.7–100.0)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66/83 (79.5%) (71.6–87.1)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 (0.03–0.30)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0.68 (0.61–0.74)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63/101 (62.4%) (55.4–69.6)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11/16 (68.8%) (46.7–88.9)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53/85 (62.4%) (55.7–69.2)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 (0.12–0.40)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0.67 (0.57–0.75)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67/101 (66.3%) (59.0–73.3)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14/19 (73.7%) (53.3–91.7)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59/82 (72.0%) (64.7–79.0)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0.22 (0.09–0.34)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0.79 (0.72–0.86)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72/101 (71.3%) (63.7–79.2)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7/9 (77.8%) (50.0–100.0)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69/92 (75.0%) (67.0–82.8)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0.22 (0.13–0.32)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 (0.39–0.60)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54/101 (53.5%) (45.5–61.4)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20/21 (95.2%) (85.0–100.0)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38/80 (47.5%) (39.5–55.6)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0.27 (0.16–0.39)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0.29 (0.15–0.43)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35/80 (43.8%) (34.6–53.2)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38/39 (97.4%) (92.3–100.0)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9/41 (22.0%) (13.6–31.6)</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 same five absent domain cells and any absent Overall cell are removed from both Haiku arms. Linearly weighted Cohen’s κ and Gwet’s AC2. Exact agreement, sensitivity and specificity are n/N (%); their CI bounds are percentages. Not Low means Some concerns or High. All-Low rule has no variance; only accuracy and specificity are reported. Paired differences are on the coefficient scale or in percentage points; — indicates undefined or not applicable.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22. Missing-judgement sensitivity: paired Haiku differences</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1224"/>
        <w:gridCol w:w="1224"/>
        <w:gridCol w:w="2160"/>
        <w:gridCol w:w="2232"/>
        <w:gridCol w:w="2160"/>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Weighted κ</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AC2</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Exact agreement</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 for Not Low</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Specificity for Not Low</w:t>
            </w:r>
          </w:p>
        </w:tc>
      </w:tr>
      <w:tr>
        <w:trPr>
          <w:cantSplit/>
          <w:trHeight w:val="480" w:hRule="auto"/>
        </w:trPr>
        <w:tc>
          <w:tcPr>
            <w:gridSpan w:val="6"/>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 minus Unassisted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(−0.02 to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(0.01–0.08)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 (1.0–8.0)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 (−13.9 to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 (2.6–9.6)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(−0.12 to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 (0.01–0.11)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 (−1.0 to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−22.2 (−41.2 to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 (3.5–16.3)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 (−0.15 to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(−0.14 to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 (−12.9 to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(−22.2 to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(−9.5 to 9.3)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0.13 (−0.02 to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 (−0.04 to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(−2.0 to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15.8 (−10.5 to 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4.9 (0.0–10.5)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 (0.01–0.35)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 (0.04–0.17)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14.9 (7.8–21.8)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(−30.0 to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 (7.4–21.3)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 (−0.16 to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 (−0.06 to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 (−9.0 to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 (−26.1 to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 (−9.0 to 11.4)</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Overall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0.11 (−0.03 to 0.24)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 (−0.07 to 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(−1.2 to 20.5)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 (0.0–7.7)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14.6 (4.5–25.6)</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Coefficient units or percentage points; same observed cells in each arm.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23. Localisation population eligibility</w:t>
      </w:r>
    </w:p>
    <w:tbl xmlns:a="http://schemas.openxmlformats.org/drawingml/2006/main" xmlns:pic="http://schemas.openxmlformats.org/drawingml/2006/picture">
      <w:tblPr>
        <w:tblLayout w:type="fixed"/>
        <w:jc w:val="center"/>
        <w:tblLook w:firstRow="1" w:lastRow="0" w:firstColumn="0" w:lastColumn="0" w:noHBand="0" w:noVBand="1"/>
      </w:tblPr>
      <w:tblGrid>
        <w:gridCol w:w="2466"/>
        <w:gridCol w:w="2466"/>
        <w:gridCol w:w="2466"/>
        <w:gridCol w:w="246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Source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Consensus losses (cells)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Primary eligible (cells)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Sensitivity eligible (cells)</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(Sonnet 5.5)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 (Sonnet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57</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Published</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 requires both independent judgements equal to consensus preferred; sensitivity requires at least one. Published losses lack signalling answers. Haiku was not adjudicated.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24. Error-localisation classes, both populations</w:t>
      </w:r>
    </w:p>
    <w:tbl xmlns:a="http://schemas.openxmlformats.org/drawingml/2006/main" xmlns:pic="http://schemas.openxmlformats.org/drawingml/2006/picture">
      <w:tblPr>
        <w:tblLayout w:type="fixed"/>
        <w:jc w:val="center"/>
        <w:tblLook w:firstRow="1" w:lastRow="0" w:firstColumn="0" w:lastColumn="0" w:noHBand="0" w:noVBand="1"/>
      </w:tblPr>
      <w:tblGrid>
        <w:gridCol w:w="1440"/>
        <w:gridCol w:w="4680"/>
        <w:gridCol w:w="1872"/>
        <w:gridCol w:w="1872"/>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Population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Class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Judgement departs from own answers</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Single decisive question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Several decisive questions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Jointly decisive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Answers agree, judgement differs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attributable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Judgement departs from own answers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Single decisive question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Several decisive questions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Jointly decisive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Answers agree, judgement differs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 attributable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Counts of losing cells. First applicable class is assigned; classes sum to eligible losses. No-discordance can include adjudicator disagreements, flagged separately.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25. Decisive-question frequencies, both populations</w:t>
      </w:r>
    </w:p>
    <w:tbl xmlns:a="http://schemas.openxmlformats.org/drawingml/2006/main" xmlns:pic="http://schemas.openxmlformats.org/drawingml/2006/picture">
      <w:tblPr>
        <w:tblLayout w:type="fixed"/>
        <w:jc w:val="center"/>
        <w:tblLook w:firstRow="1" w:lastRow="0" w:firstColumn="0" w:lastColumn="0" w:noHBand="0" w:noVBand="1"/>
      </w:tblPr>
      <w:tblGrid>
        <w:gridCol w:w="1152"/>
        <w:gridCol w:w="936"/>
        <w:gridCol w:w="936"/>
        <w:gridCol w:w="3528"/>
        <w:gridCol w:w="1656"/>
        <w:gridCol w:w="165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Population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Question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Signalling question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Random allocation sequence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Concealment until enrolment and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Preintervention imbalance suggesting a randomisation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Participants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Carers or intervention providers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arising from trial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affecting the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balanced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Appropriate analysis of assignment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Substantial impact of analysing outside assigned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Outcome data available for nearly everyone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Evidence against bias from missing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potentially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likely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Inappropriate measurement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Measurement differs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Assessors aware of received 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potentially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likely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Analysis plan finalised before unblinding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outcome measurements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analyses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Random allocation sequence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Concealment until enrolment and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Preintervention imbalance suggesting a randomisation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Participants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Carers or intervention providers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arising from trial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affecting the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balanced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Appropriate analysis of assignment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Substantial impact of analysing outside assigned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Outcome data available for nearly everyone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Evidence against bias from missing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potentially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likely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Inappropriate measurement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Measurement differs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Assessors aware of received 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potentially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likely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Analysis plan finalised before unblinding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outcome measurements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Sensitivity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analyses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Counts of individually decisive questions; all 22 questions are retained. A cell may contribute several. Jointly decisive sets contribute none. Short question texts follow the 2019 guidance; D2 uses effect of assignment.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26. Unresolved independent answer</w:t>
      </w:r>
    </w:p>
    <w:tbl xmlns:a="http://schemas.openxmlformats.org/drawingml/2006/main" xmlns:pic="http://schemas.openxmlformats.org/drawingml/2006/picture">
      <w:tblPr>
        <w:tblLayout w:type="fixed"/>
        <w:jc w:val="center"/>
        <w:tblLook w:firstRow="1" w:lastRow="0" w:firstColumn="0" w:lastColumn="0" w:noHBand="0" w:noVBand="1"/>
      </w:tblPr>
      <w:tblGrid>
        <w:gridCol w:w="1152"/>
        <w:gridCol w:w="936"/>
        <w:gridCol w:w="1224"/>
        <w:gridCol w:w="1080"/>
        <w:gridCol w:w="2736"/>
        <w:gridCol w:w="2736"/>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Trial</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Domain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Adjudicator</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Question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Recorded answer</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Parsing issue</w:t>
            </w:r>
          </w:p>
        </w:tc>
      </w:tr>
      <w:tr>
        <w:trPr>
          <w:cantSplit/>
          <w:trHeight w:val="490" w:hRule="auto"/>
        </w:trPr>
        <w:tc>
          <w:tcPr>
            <w:tcBorders>
              <w:bottom w:val="single" w:sz="8"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Chiba 2021</w:t>
            </w:r>
          </w:p>
        </w:tc>
        <w:tc>
          <w:tcPr>
            <w:tcBorders>
              <w:bottom w:val="single" w:sz="8"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D3</w:t>
            </w:r>
          </w:p>
        </w:tc>
        <w:tc>
          <w:tcPr>
            <w:tcBorders>
              <w:bottom w:val="single" w:sz="8"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Adjudicator 1</w:t>
            </w:r>
          </w:p>
        </w:tc>
        <w:tc>
          <w:tcPr>
            <w:tcBorders>
              <w:bottom w:val="single" w:sz="8"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single" w:sz="8"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3.4=NI at 6 months; PY at 12 months</w:t>
            </w:r>
          </w:p>
        </w:tc>
        <w:tc>
          <w:tcPr>
            <w:tcBorders>
              <w:bottom w:val="single" w:sz="8"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Ambiguous or unrecognised answer</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 qualified answer is preserved without selecting a time point. This cell is outside both localisation populations because neither independent judgement equals consensus preferred.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27. Recorded model override</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80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Field</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Value</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Source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(Haiku 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Hill 2017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Proposed judgement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Adopted judgement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Some concerns</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Recorded rationale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 algorithm proposed Low, but sequence generation is No information: the main article says only that participants were randomized, and neither the protocol's stratification description (section 8.2.1.c) nor the registry names a generation method. Official RoB 2 guidance treats a trial described as randomized with no further detail on the process as Some concerns, not Low, so the algorithm's Low does not reflect the reported process. Concealment and preintervention balance do not raise concern and are unchanged.</w:t>
            </w:r>
          </w:p>
        </w:tc>
      </w:tr>
      <w:tr>
        <w:trPr>
          <w:cantSplit/>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Hill 2017 D1: 1.1 = NI, 1.2 = PY, 1.3 = N. Proposed Low; adopted Some concerns. Answer codes and clinical balance terminology are expanded for readability; the original rationale remains in the accompanying CSV. The rationale is model text, not endorsed guidance. Evidence identities remain in the accompanying CSV.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28. Quotation syntax in active justifications</w:t>
      </w:r>
    </w:p>
    <w:tbl xmlns:a="http://schemas.openxmlformats.org/drawingml/2006/main" xmlns:pic="http://schemas.openxmlformats.org/drawingml/2006/picture">
      <w:tblPr>
        <w:tblLayout w:type="fixed"/>
        <w:jc w:val="center"/>
        <w:tblLook w:firstRow="1" w:lastRow="0" w:firstColumn="0" w:lastColumn="0" w:noHBand="0" w:noVBand="1"/>
      </w:tblPr>
      <w:tblGrid>
        <w:gridCol w:w="3600"/>
        <w:gridCol w:w="62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Source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Estimate (95% CI)</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(Sonnet 5.5)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34/1538 (2.2%) (1.1–3.5)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 (Sonnet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0/1459 (0.0%)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ARBITER (Haiku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47/1552 (3.0%) (1.7–4.6)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 (Haiku 5.5)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3/1782 (0.2%) (0.0–0.4)</w:t>
            </w:r>
          </w:p>
        </w:tc>
      </w:tr>
      <w:tr>
        <w:trPr>
          <w:cantSplit/>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Quoted active answers / all active answers. Paired double quotes enclose at least five words. Syntax is not verification and understates ARBITER bundle-based grounding.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29. Unassisted justification content</w:t>
      </w:r>
    </w:p>
    <w:tbl xmlns:a="http://schemas.openxmlformats.org/drawingml/2006/main" xmlns:pic="http://schemas.openxmlformats.org/drawingml/2006/picture">
      <w:tblPr>
        <w:tblLayout w:type="fixed"/>
        <w:jc w:val="center"/>
        <w:tblLook w:firstRow="1" w:lastRow="0" w:firstColumn="0" w:lastColumn="0" w:noHBand="0" w:noVBand="1"/>
      </w:tblPr>
      <w:tblGrid>
        <w:gridCol w:w="3600"/>
        <w:gridCol w:w="6264"/>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Source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Answer-code-only / exported fields (%)</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 (Sonnet 5.5)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1344/1459 (92.1%)</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Unassisted (Haiku 5.5)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1320/1782 (74.1%)</w:t>
            </w:r>
          </w:p>
        </w:tc>
      </w:tr>
      <w:tr>
        <w:trPr>
          <w:cantSplit/>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Codes are Y, PY, PN, N, NI or NA. This describes exported fields without inferring absent reasoning.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30. Exploratory signalling-answer agreement</w:t>
      </w:r>
    </w:p>
    <w:p>
      <w:pPr>
        <w:pStyle w:val="Titre2"/>
      </w:pPr>
      <w:r>
        <w:t xml:space="preserve">Adjudicator 1</w:t>
      </w:r>
    </w:p>
    <w:tbl xmlns:a="http://schemas.openxmlformats.org/drawingml/2006/main" xmlns:pic="http://schemas.openxmlformats.org/drawingml/2006/picture">
      <w:tblPr>
        <w:tblLayout w:type="fixed"/>
        <w:jc w:val="center"/>
        <w:tblLook w:firstRow="1" w:lastRow="0" w:firstColumn="0" w:lastColumn="0" w:noHBand="0" w:noVBand="1"/>
      </w:tblPr>
      <w:tblGrid>
        <w:gridCol w:w="720"/>
        <w:gridCol w:w="3096"/>
        <w:gridCol w:w="1512"/>
        <w:gridCol w:w="1512"/>
        <w:gridCol w:w="1512"/>
        <w:gridCol w:w="1512"/>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SQ</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Signalling question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Random allocation sequence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20/22 (90.9%) (78.3–100.0)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20/21 (95.2%) (85.7–100.0)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20/22 (90.9%) (77.8–100.0)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19/22 (86.4%) (72.0–100.0)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Concealment until enrolment and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19/22 (86.4%) (72.0–100.0)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16/21 (76.2%) (57.9–93.8)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17/22 (77.3%) (59.3–93.8)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19/22 (86.4%) (71.4–100.0)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Preintervention imbalance suggesting a randomisation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12/22 (54.5%) (36.4–70.8)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9/21 (42.9%) (23.5–60.9)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12/22 (54.5%) (36.8–70.8)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6/22 (27.3%) (10.0–45.0)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Participants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34/40 (85.0%) (74.4–94.6)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34/40 (85.0%) (74.4–94.6)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32/40 (80.0%) (68.3–91.3)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29/40 (72.5%) (60.5–84.2)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Carers or intervention providers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37/40 (92.5%) (84.2–100.0)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36/40 (90.0%) (81.0–97.6)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35/40 (87.5%) (77.1–96.8)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29/40 (72.5%) (58.8–85.3)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arising from trial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27/40 (67.5%) (53.1–80.6)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27/40 (67.5%) (53.8–81.0)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21/40 (52.5%) (37.8–66.7)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25/40 (62.5%) (48.6–75.6)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affecting the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(92.5–100.0)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38/40 (95.0%) (87.8–100.0)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(92.5–100.0)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24/40 (60.0%) (45.9–73.3)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balanced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(92.5–100.0)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(92.5–100.0)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(92.5–100.0)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13/40 (32.5%) (18.8–46.7)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Appropriate analysis of assignment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31/40 (77.5%) (65.7–88.6)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23/40 (57.5%) (44.7–70.6)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30/40 (75.0%) (62.5–86.8)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13/39 (33.3%) (20.0–47.4)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Substantial impact of analysing outside assigned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26/40 (65.0%) (51.4–77.5)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17/40 (42.5%) (30.0–55.6)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24/40 (60.0%) (46.2–73.8)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4/26 (15.4%) (3.8–29.4)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Outcome data available for nearly everyone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28/32 (87.5%) (75.7–97.0)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19/31 (61.3%) (45.2–77.4)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24/31 (77.4%) (62.5–91.4)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21/32 (65.6%) (48.6–80.6)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Evidence against bias from missing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29/32 (90.6%) (80.0–100.0)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19/32 (59.4%) (43.2–75.0)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26/31 (83.9%) (71.4–96.2)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16/32 (50.0%) (35.1–64.5)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potentially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28/32 (87.5%) (75.7–97.0)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14/31 (45.2%) (29.2–61.5)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25/31 (80.6%) (66.7–93.3)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18/32 (56.2%) (40.5–72.4)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likely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16/32 (50.0%) (34.5–65.8)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11/31 (35.5%) (20.7–51.5)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18/31 (58.1%) (41.9–75.0)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15/31 (48.4%) (32.0–65.2)</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Inappropriate measurement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14/15 (93.3%) (80.0–100.0)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Measurement differs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7/15 (46.7%) (23.1–72.7)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Assessors aware of received 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13/15 (86.7%) (69.2–100.0)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13/15 (86.7%) (66.7–100.0)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potentially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13/15 (86.7%) (68.8–100.0)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8/15 (53.3%) (31.2–75.0)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11/15 (73.3%) (50.0–93.3)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likely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(58.3–100.0)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5/15 (33.3%) (11.1–56.2)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10/15 (66.7%) (42.9–88.2)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3/13 (23.1%) (0.0–50.0)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Analysis plan finalised before unblinding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37/45 (82.2%) (73.8–90.2)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19/45 (42.2%) (29.8–55.0)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31/44 (70.5%) (58.1–82.4)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9/45 (20.0%) (9.5–31.6)</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outcome measurements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21/45 (46.7%) (34.1–58.3)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15/44 (34.1%) (22.5–45.2)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26/44 (59.1%) (45.2–71.8)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8/45 (17.8%) (7.7–28.6)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analyses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6/45 (13.3%) (4.8–22.5)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3/45 (6.7%) (0.0–13.6)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24/44 (54.5%) (40.8–68.4)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8/45 (17.8%) (7.5–28.9)</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SQ, signalling question. Correct collapsed answers / eligible questions (95% CI) on disputed domains. Independent answers define reference; Y/PY, N/PN, NI/NA collapse. Missing predictions are wrong. Includes Haiku without a preferred-judgement endpoint.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r>
        <w:br w:type="page"/>
      </w:r>
    </w:p>
    <w:p>
      <w:pPr>
        <w:pStyle w:val="Titre2"/>
      </w:pPr>
      <w:r>
        <w:t xml:space="preserve">eTable 30 (continued). Exploratory signalling-answer agreement</w:t>
      </w:r>
    </w:p>
    <w:p>
      <w:pPr>
        <w:pStyle w:val="Titre2"/>
      </w:pPr>
      <w:r>
        <w:t xml:space="preserve">Adjudicator 2</w:t>
      </w:r>
    </w:p>
    <w:tbl xmlns:a="http://schemas.openxmlformats.org/drawingml/2006/main" xmlns:pic="http://schemas.openxmlformats.org/drawingml/2006/picture">
      <w:tblPr>
        <w:tblLayout w:type="fixed"/>
        <w:jc w:val="center"/>
        <w:tblLook w:firstRow="1" w:lastRow="0" w:firstColumn="0" w:lastColumn="0" w:noHBand="0" w:noVBand="1"/>
      </w:tblPr>
      <w:tblGrid>
        <w:gridCol w:w="720"/>
        <w:gridCol w:w="3096"/>
        <w:gridCol w:w="1512"/>
        <w:gridCol w:w="1512"/>
        <w:gridCol w:w="1512"/>
        <w:gridCol w:w="1512"/>
      </w:tblGrid>
      <w:tr>
        <w:trPr>
          <w:cantSplit/>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SQ</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Signalling question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(Sonnet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ARBITER (Haiku 5.5)</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Unassisted (Haiku 5.5)</w:t>
            </w:r>
          </w:p>
        </w:tc>
      </w:tr>
      <w:tr>
        <w:trPr>
          <w:cantSplit/>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Random allocation sequence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21/22 (95.5%) (85.7–100.0)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19/21 (90.5%) (78.3–100.0)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19/22 (86.4%) (71.4–100.0)</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18/22 (81.8%) (65.5–95.5)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Concealment until enrolment and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20/22 (90.9%) (78.9–100.0)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14/21 (66.7%) (47.4–85.7)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18/22 (81.8%) (65.2–95.5)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17/22 (77.3%) (60.0–93.8)</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Preintervention imbalance suggesting a randomisation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22/22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19/21 (90.5%) (78.3–100.0)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18/22 (81.8%) (65.4–95.5)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15/22 (68.2%) (50.0–85.7)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Participants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37/40 (92.5%) (84.4–100.0)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37/40 (92.5%) (84.4–100.0)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37/40 (92.5%) (84.2–100.0)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31/40 (77.5%) (66.0–88.9)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Carers or intervention providers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38/40 (95.0%) (88.2–100.0)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37/40 (92.5%) (84.4–100.0)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36/40 (90.0%) (80.5–97.6)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28/40 (70.0%) (56.2–82.9)</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arising from trial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31/40 (77.5%) (65.0–88.6)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27/40 (67.5%) (54.3–80.0)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25/40 (62.5%) (47.4–76.3)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25/40 (62.5%) (48.9–75.0)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affecting the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36/40 (90.0%) (80.6–97.6)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25/40 (62.5%) (48.7–75.7)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Deviations balanced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39/40 (97.5%) (92.1–100.0)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13/40 (32.5%) (18.8–46.7)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Appropriate analysis of assignment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32/40 (80.0%) (68.6–90.9)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26/40 (65.0%) (51.4–77.5)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27/40 (67.5%) (54.5–80.0)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14/39 (35.9%) (22.0–50.0)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Substantial impact of analysing outside assigned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31/40 (77.5%) (65.8–89.2)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26/40 (65.0%) (51.7–77.8)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27/40 (67.5%) (54.5–80.0)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8/26 (30.8%) (14.3–48.1)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Outcome data available for nearly everyone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30/32 (93.8%) (84.8–100.0)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21/31 (67.7%) (52.8–82.8)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26/31 (83.9%) (71.4–96.2)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23/32 (71.9%) (57.1–85.7)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Evidence against bias from missing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30/32 (93.8%) (84.8–100.0)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20/32 (62.5%) (46.9–78.1)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27/31 (87.1%) (75.8–96.9)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16/32 (50.0%) (35.1–64.5)</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potentially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30/32 (93.8%) (84.8–100.0)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16/31 (51.6%) (36.0–67.9)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27/31 (87.1%) (75.8–96.9)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18/32 (56.2%) (40.5–72.4)</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Missingness likely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24/32 (75.0%) (60.6–88.0)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11/31 (35.5%) (19.4–52.8)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19/31 (61.3%) (44.8–77.3)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14/31 (45.2%) (28.1–62.1)</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Inappropriate measurement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14/15 (93.3%) (80.0–100.0)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Measurement differs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15/15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7/15 (46.7%) (23.1–72.7)</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Assessors aware of received 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13/15 (86.7%) (69.2–100.0)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13/15 (86.7%) (66.7–100.0)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potentially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13/15 (86.7%) (68.8–100.0)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8/15 (53.3%) (31.2–75.0)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12/15 (80.0%) (58.8–100.0)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11/15 (73.3%) (50.0–93.3)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Assessment likely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11/15 (73.3%) (50.0–92.9)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7/15 (46.7%) (25.0–69.2)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10/15 (66.7%) (42.9–88.2)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6/13 (46.2%) (20.0–75.0)</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Analysis plan finalised before unblinding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33/45 (73.3%) (61.0–85.1)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16/45 (35.6%) (23.1–48.7)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31/44 (70.5%) (56.9–83.3)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18/45 (40.0%) (27.5–53.3)</w:t>
            </w:r>
          </w:p>
        </w:tc>
      </w:tr>
      <w:tr>
        <w:trPr>
          <w:cantSplit/>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outcome measurements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40/45 (88.9%) (80.0–96.1)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31/44 (70.5%) (57.1–82.9)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27/44 (61.4%) (47.9–74.4)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14/45 (31.1%) (19.0–43.6)</w:t>
            </w:r>
          </w:p>
        </w:tc>
      </w:tr>
      <w:tr>
        <w:trPr>
          <w:cantSplit/>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Result selected from eligible analyses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34/45 (75.6%) (64.1–86.0)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32/45 (71.1%) (59.1–82.6)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19/44 (43.2%) (30.8–54.5)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22/45 (48.9%) (35.7–62.2)</w:t>
            </w:r>
          </w:p>
        </w:tc>
      </w:tr>
      <w:tr>
        <w:trPr>
          <w:cantSplit/>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SQ, signalling question. Correct collapsed answers / eligible questions (95% CI) on disputed domains. Independent answers define reference; Y/PY, N/PN, NI/NA collapse. Missing predictions are wrong. Includes Haiku without a preferred-judgement endpoint. CI, confidence interval; 10,000 percentile bootstrap replicates, trials resampled within meta-analysis; seed 20261018.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sectPr>
          <w:pgMar w:header="708" w:bottom="864" w:top="864" w:right="936" w:left="936" w:footer="708" w:gutter="0"/>
          <w:pgSz w:h="16834" w:w="11909" w:orient="portrait"/>
          <w:type w:val="continuous"/>
          <w:cols/>
        </w:sectPr>
      </w:pPr>
    </w:p>
    <w:p>
      <w:pPr>
        <w:pStyle w:val="Titre2"/>
      </w:pPr>
      <w:r>
        <w:t xml:space="preserve">eTable 31. AVATAR complete trace</w:t>
      </w:r>
    </w:p>
    <w:p>
      <w:pPr>
        <w:pStyle w:val="Titre2"/>
      </w:pPr>
      <w:r>
        <w:t xml:space="preserve">Part A. Answers and judgements</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2088"/>
        <w:gridCol w:w="3888"/>
        <w:gridCol w:w="1224"/>
        <w:gridCol w:w="1584"/>
        <w:gridCol w:w="3168"/>
      </w:tblGrid>
      <w:tr>
        <w:trPr>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Question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ARBITER</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Evidence handles (type)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Justification</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Unknowns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Counterevidence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Unassisted</w:t>
            </w:r>
          </w:p>
        </w:tc>
      </w:tr>
      <w:tr>
        <w:trPr>
          <w:trHeight w:val="696"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D1 judgement / rationale</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Proposed: Low; adopted: Low</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Allocation used a computer-generated, centre-stratified permuted-block sequence delivered through a web-based interactive response system, so concealment was adequate. The baseline differences in age (P = .02) and haemoglobin (P = .01) are consistent with chance across about 25 variables.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Random allocation sequence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eh_d6c269341c7d8a5d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original AVATAR paper states the assignment was computer-generated and stratified by centre using a permuted-block sequence with variable block size, which is a random 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Concealment until enrolment and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eh_d6c269341c7d8a5d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Patients were randomized using a web-based interactive response system, a central remote allocation method independent of enrolment staff. Variable block size limits predictability of the last allocations in a block.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Whether the central system was run by a unit independent of enrolling staff is not stated explicitly.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Preintervention imbalance suggesting a randomisation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eh_92eed84c7b98e37c (direct support); eh_58abdac52262aa33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Group sizes were 78 vs 79. Of about 25 baseline comparisons in Table 2, only age (P=.02) and haemoglobin (P=.01) were nominally significant, and diabetes was P=.07. The age difference is 1 year in medians. This is compatible with chance and none approaches P&lt;0.001.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Basis 1: Diabetes was less common in early surgery (17.9% vs 29.1%), which could favour surgery, but P=.07 is compatible with chance and the 2022 paper attributes it to chance.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probably_no</w:t>
            </w:r>
          </w:p>
        </w:tc>
      </w:tr>
      <w:tr>
        <w:trPr>
          <w:trHeight w:val="6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D2 judgement / rationale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Proposed: Low; adopted: 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The trial was open label, so participants and clinicians knew the assignments. Surgery in the conservative arm followed protocol-defined triggers such as symptom onset. Six of 78 early-surgery patients did not receive surgery, and some surgeries were delayed by COVID-19. These are not deviations likely to affect the outcome. The analysis was intention-to-treat.</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Participants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eh_975aac3202107531 (direct support); eh_3ce4199af9d487f3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registry lists masking as NONE, and the comparison is surgical valve replacement versus watchful waiting, which cannot be hidden from participants.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Carers or intervention providers aware of assignment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eh_975aac3202107531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Open-label surgery versus conservative care means clinicians and surgeons delivering care knew the assignment. Allocation was concealed until assignment, but blinding afterwards was impossible.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Deviations arising from trial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eh_c8e0958840636206 (direct support); eh_22d01d9384e1a677 (context); eh_4b5761bf573cc287 (context); eh_05e667d2d41d3858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Crossover from conservative care to surgery (35/79) was driven by protocol-defined indications (symptom onset, AS progression, LVEF decline), as Table 3 and the protocol show, so it is consistent with the protocol rather than trial-context driven. Surgical delays beyond 8 weeks arose from the COVID-19 public-health emergency and were documented as an anticipated minor deviation in the SAP amendment. Four early-surgery patients did not receive surgery as assigned, for reasons like infection or declining, which could occur outside a 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Reasons for declining surgery are not described in detail.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Basis 3: The authors note pandemic-related follow-up substitution by phone and lengthened AVR delays could have increased clinical risk. These arose from the pandemic, not the trial context, and no deaths occurred while awaiting scheduled surgery in the conservative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probably_no</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Deviations affecting the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Deviations balanced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Appropriate analysis of assignment effect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eh_30fa222ec5523dcc (direct support); eh_c8e0958840636206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analyses were intention-to-treat as randomized, and all 157 patients were included. One early-surgery patient lost to follow-up was censored and still analysed.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Substantial impact of analysing outside assigned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6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D3 judgement / rationale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Proposed: Low; adopted: 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All 157 patients were analysed. One patient lost to follow-up was censored.</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Outcome data available for nearly everyone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eh_e66d374e838e8c6d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157 randomized patients were analysed and median follow-up was 63 months. Only one patient (early-surgery arm) was lost to follow-up and censored at last contact, so 1/157 (0.6%) has incomplete outcome data. This is far fewer than the observed deaths, so any outcome for that patient could not materially change the HR of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Evidence against bias from missing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Missingness potentially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Missingness likely depends on true outcome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6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D4 judgement / rationale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Proposed: Low; adopted: 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Death is an objective outcome. Assessors were not blinded to allocation, but this cannot plausibly bias an all-cause death count.</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Inappropriate measurement method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eh_3ce4199af9d487f3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All-cause death is a pre-specified, objective event ascertained through scheduled follow-up (6-monthly in year 1, then yearly), phone contact when in-person visits were not possible, and review of medical records for any registered event. Nothing suggests an insensitive method or an instrument with poor validity.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Measurement differs across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eh_3ce4199af9d487f3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Both arms followed the same protocol schedule, and COVID-related phone follow-up applied to patients regardless of arm. Death is hard to miss, so any difference in contact opportunities (e.g. surgery visits) is unlikely to change ascertainment of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Whether vital status was verified from registries in both arms is not stated.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Assessors aware of received intervention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eh_3ce4199af9d487f3 (direct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trial was open-label (registry masking: none), and the report states that DSMB members were not blinded to allocation when reviewing events. Site investigators recording deaths were also aware of the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Assessment potentially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eh_3ce4199af9d487f3 (inference)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All-cause death is an observer-reported outcome that involves no judgement, so knowledge of the intervention is unlikely to influence its assessment, even though the assessors were aware of the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Assessment likely influenced by awareness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asked (inactive; branching)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not_applicable</w:t>
            </w:r>
          </w:p>
        </w:tc>
      </w:tr>
      <w:tr>
        <w:trPr>
          <w:trHeight w:val="6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D5 judgement / rationale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Proposed: Some concerns; adopted: Some concerns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w:t>
            </w:r>
            <w:r>
              <w:rPr>
                <w:rFonts w:ascii="Arial" w:hAnsi="Arial" w:eastAsia="Arial" w:cs="Arial"/>
                <w:i w:val="false"/>
                <w:b w:val="false"/>
                <w:u w:val="none"/>
                <w:strike w:val="false"/>
                <w:sz w:val="16"/>
                <w:szCs w:val="16"/>
                <w:color w:val="000000"/>
              </w:rPr>
              <w:br/>
            </w:r>
            <w:r>
              <w:rPr>
                <w:rFonts w:ascii="Arial" w:hAnsi="Arial" w:eastAsia="Arial" w:cs="Arial"/>
                <w:i w:val="false"/>
                <w:b w:val="false"/>
                <w:u w:val="none"/>
                <w:strike w:val="false"/>
                <w:sz w:val="16"/>
                <w:szCs w:val="16"/>
                <w:color w:val="000000"/>
              </w:rPr>
              <w:t xml:space="preserve">Time to death was a prespecified secondary endpoint with a registered 5-year time frame. It was analysed with a single Cox model, and the SAP amendment only addresses COVID-19 delays. I found no sign of selective reporting. A small concern is that the extended follow-up was a later analysis, but it matches the registered time frame.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Analysis plan finalised before unblinding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information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eh_d54a2600ddc753b3 (context); eh_7ad155913c1c5826 (context); eh_30fa222ec5523dcc (context); eh_7961ea6680167af2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registry entry (first submitted 30 Apr 2015, before enrolment began in June 2015) names all-cause death only as a component of composite outcomes. It does not list time to all-cause death as a separate outcome. The Circulation 2022 and EHJ 2024 reports describe 'time to death' as a prespecified secondary end point analysed with Kaplan-Meier and Cox models, citing a published protocol. That protocol is not among the captured Sources, and the report statements are not date-stamped before unblinded data. The only SAP-type document is an amendment dated 4 Jan 2021 about COVID surgical delays. No dated source therefore specifies this measurement and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Whether the published protocol listed time to all-cause death and its Cox analysis, and its date relative to unblinded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probably_yes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Result selected from eligible outcome measurements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eh_30fa222ec5523dcc (direct support); eh_d54a2600ddc753b3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All-cause death is a single, unambiguous event, so there is essentially one way to measure the outcome domain. The registered time frames were 36 months and 5 years. The 2024 report states that all-cause death was analysed over the full follow-up and also restricted to 3 years, so no eligible time point appears to have been omitted in favour of a more favourable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probably_no</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Result selected from eligible analyses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eh_30fa222ec5523dcc (direct support); eh_f625637d366df2a0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Time-to-event secondary outcomes were analysed with the same Kaplan-Meier, log-rank and Cox model (treatment only) used for the primary outcome, and the same method was used in the 2022 paper. No covariate-adjusted or alternative models are described, and the long-term and 3-year analyses are both reported.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None recorded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probably_no</w:t>
            </w:r>
          </w:p>
        </w:tc>
      </w:tr>
      <w:tr>
        <w:trPr>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Proposed: Some concerns; adopted: Some concerns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Any domain Some concerns, with no High domain: Overall Some concerns.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w:t>
            </w:r>
          </w:p>
        </w:tc>
      </w:tr>
    </w:tbl>
    <w:p>
      <w:pPr>
        <w:pStyle w:val="Titre2"/>
      </w:pPr>
      <w:r>
        <w:t xml:space="preserve">Part B. Evidence records</w:t>
      </w:r>
    </w:p>
    <w:tbl xmlns:a="http://schemas.openxmlformats.org/drawingml/2006/main" xmlns:pic="http://schemas.openxmlformats.org/drawingml/2006/picture">
      <w:tblPr>
        <w:tblLayout w:type="fixed"/>
        <w:jc w:val="center"/>
        <w:tblLook w:firstRow="1" w:lastRow="0" w:firstColumn="0" w:lastColumn="0" w:noHBand="0" w:noVBand="1"/>
      </w:tblPr>
      <w:tblGrid>
        <w:gridCol w:w="2088"/>
        <w:gridCol w:w="2016"/>
        <w:gridCol w:w="576"/>
        <w:gridCol w:w="792"/>
        <w:gridCol w:w="1440"/>
        <w:gridCol w:w="7776"/>
      </w:tblGrid>
      <w:tr>
        <w:trPr>
          <w:trHeight w:val="496" w:hRule="auto"/>
          <w:tblHeader/>
        </w:trPr>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Handle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Source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Page</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Lines</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Source-version hash</w:t>
            </w:r>
          </w:p>
        </w:tc>
        <w:tc>
          <w:tcPr>
            <w:tcBorders>
              <w:bottom w:val="single" w:sz="5"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Full verbatim quote</w:t>
            </w:r>
          </w:p>
        </w:tc>
      </w:tr>
      <w:tr>
        <w:trPr>
          <w:trHeight w:val="480" w:hRule="auto"/>
        </w:trPr>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eh_05e667d2d41d3858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76–83</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follow-up and lengthening AVR delays. Pre-defined physical visits were substituted by phone follow-up. Such surveillance within the watchful waiting may hypothetically impact timely detection of symptoms conse quently leading to increased clinical risk, including sudden death. Nevertheless, in the conservative group, none of the patients experi enced MACE or died while awaiting the scheduled surgery. It is of note that in the small number of patients undergoing TAVR, delays ap peared shorter as compared with the surgical intervention.</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eh_22d01d9384e1a677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Current registry-linked sap: SAP_000.pdf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ba0a93294998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Amendmen to statystical analysis   1. Patients randomized to AVR surgery who received delayed surgery (more than 8 weeks after randomization) due to COVID -19 public health emergency will be documented and this delay will be defined as an anticipated minor deviation from the clinical protocol 2. Appropriate statistical procedures will be performed and results will be published according to the FDA guidance "Conduct of Clinical Trials of Medical Products During the COVID-19 Public Health Emergency Guidance for Industry, investigators, and Institutional Review Boards"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eh_30fa222ec5523dcc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Statistical analysis We conducted all analyses according to the intention-to-treat principle, where all patients were included in the analysis as they were randomized. For the analysis of the primary outcome, we built a Kaplan-Meier graph with a log rank P-value to test for a difference between early surgery and control intervention at a two-sided α value of 0.05 and used a Cox propor tional hazards model to derive hazard ratios (HRs) with 95% confidence in tervals (CIs) for treatment effect estimation. Time-to-event secondary outcomes were analysed using the same meth ods applied for the analysis of the primary outcome. For MACE, all-cause death, HF hospitalization, and cardiovascular death, we repeated the ana lysis as described above restricted to a 3-year follow-up, with complete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eh_3ce4199af9d487f3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Introduction Aortic stenosis (AS) is the single most common valvular heart disease re quiring intervention in developed countries and is projected to double by 2050 in both the USA and Europe.1 The approach to symptomatic pa tients with severe AS is straightforward. Surgical aortic valve replacement (AVR) and, more recently, transcatheter aortic valve implantation (TAVI) procedures are Class I recommendation to relieve symptoms and im prove survival in symptomatic patients with severe AS.2,3 Conversely, the question of when and how to treat truly asymptom atic patients with severe AS and normal left ventricular (LV) systolic function is still subject to debate and ongoing research. To date, two randomized trials have demonstrated benefit of early AVR in compari son with conservative strategy in asymptomatic patients with severe and very severe AS patients.4,5 In addition, there are several ongoing randomized trials investigating the role of early TAVI and/or early sur gical AVR in asymptomatic AS. The Aortic Valve Replacement Versus Conservative Treatment in Asymptomatic Severe Aortic Stenosis (AVATAR) trial is an investigator- initiated, prospective, multinational, randomized, controlled, parallel-group, event-driven trial that compared the safety and efficacy of early surgery in the treatment of truly asymptomatic patients with severe AS and LV ejec tion fraction (LVEF) ≥ 50% vs. conservative treatment with watchful wait ing strategy and AVR only after symptom onset, or other guidelines directed Class I or II indications for AVR.3,6 In the primary analysis of the AVATAR trial, asymptomatic AS patients randomized to early surgery had a lower incidence of the composite primary outcome comprising all- cause death, acute myocardial infarction, stroke, or unplanned hospitaliza tion for heart failure (HF), compared with patients who were randomized to conservative treatment.5 We now report the results of the AVATAR trial after extended follow-up at 5 years. Methods Study design and oversight The AVATAR trial (ClinicalTrials.gov identifier NCT02436655) protocol and protocol update were designed by the first co-authors and steering committee co-chairmen and was approved by the steering committee of the AVATAR trial.7,8 The clinical and outcomes data were collected by per sonnel at the participating sites and were sent directly to the data coordinat ing centre at the University Clinical Center of Serbia. No extramural funding was used to support this work. The authors, members of the steering com mittee, and investigators are solely responsible for the design and conduct of this trial, all analyses, drafting and editing of the article, and its final contents. Independent statistician conducted the long-term data analyses. The trial was conducted in accordance with the Declaration of Helsinki. All participants provided written informed consent. An independent data and safety monitoring board (DSMB) adjudicated all serious adverse events and oversaw the safety of the trial. The article was prepared by the first author and steering committee co-chairmen and was reviewed and edited by mem bers of the steering committee and authors. All authors reviewed the article, approved its submission for publication, and vouched for the accuracy and completeness of the data and for the fidelity of the trial to the protocol. Study population The study inclusion and exclusion criteria are shown in Table 1; trial flowchart is shown in Figure 1. Briefly, a total of 157 patients with severe AS according to the guidelines were enrolled in the trial: 79 were randomized to conservative treatment and 78 were randomized to early surgery. To prove truly asymp tomatic status, exercise testing was performed in all candidates to evaluate symptom status according to a standardized protocol using treadmill or semi- supine ergo-bicycle. To consider exercise testing negative, which was manda tory for inclusion, all candidates needed to reach a projected submaximal heart rate. Positive exercise test included onset of AS-related symptoms, fall in systolic blood pressure (≥20 mmHg from the baseline values), or Electrocardiography (ECG) or stress echocardiography signs of myocardial ischaemia.9 Follow-up and trial endpoints Patients were followed according to the protocol every 6 months for the first year and then yearly with the in-person visits at the participating study centre. As the trial was affected by the Covid-19 pandemic, contact with patients who could not come in person was made by phone. For any event that was registered, the medical records were asked for and reviewed. Adverse clinical events were adjudicated by the DSMB per protocol defini tions.7,8 Data and safety monitoring board members were not blinded to the treatment allocation during events review. They adjudicated the events by consensus. Table 1 Eligibility inclusion/exclusion criteria Inclusion criteria • Men and women of any ethnic origin aged ≥18 years • Written informed consent • Vmax across the aortic valve &gt; 4 m/s or P mean ≥ 40 mmHg and AVA ≤ 1 cm2 or AVAi ≤ 0.6 cm2/m2 at rest • Without reported symptoms • Society of Thoracic Surgeons score &lt; 8% Exclusion criteria Participation in another clinical trial within 30 days prior to randomization • Pregnant or nursing women • Mental condition rendering the patient unable to understand the nature, scope, and possible consequences of the study or to follow the protocol • Positive stress-test defined as follows: (a) Anginal chest pain during testing (b) Syncope or dizziness during testing (c) Decrease in systolic blood pressure during exercise ≥ 20 mmHg (d) Malignant arrhythmia during exercise testing (VT or VF) • Left ventricular ejection fraction &lt; 50% at rest • Very severe AS defined as Vmax &gt; 5.5 m/s at rest • Significant disease of other valves: mitral stenosis with Pmean &gt; 5 mg, or any significant regurgitation ≥ 3+ • Recent previous myocardial infarction (&lt;1 year) • Need for additional aortic root replacement (i.e. Bentall) or ascending aorta surgery in asymptomatic patients undergoing AVR • Previous coronary bypass surgery • Previous any heart valve surgery • Impaired renal function, i.e. creatinine &gt; 200 μmol/L or glomerular filtration rate &lt; 30 mL/min/1.73 m2 • Significant pulmonary hypertension at rest (systolic pulmonary artery pressure &gt; 50 mmHg) • Uncontrolled hypertension at rest (systolic blood pressure &gt; 180 mmHg and diastolic blood pressure &gt; 100 mmHg) • Significant comorbidity with reduced life expectancy (&lt;3 years) • Uncontrolled diabetes mellitus (HbA1c &gt; 9%) • Significant chronic obstructive pulmonary disease (FEV1 &lt; 70% of predicted value)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eh_4b5761bf573cc287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CIRCULATIONAHA.121.057639.pdf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592b9a6c531c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Patients in the conservative treatment group were referred for surgery in case of onset of AS-related symptoms, if the LVEF decreased to &lt;50%, or if the peak aortic jet velocity increased each year by &gt;0.3 m/s on follow-up echocardiog- raphy, according to European Society of Cardiology guide- lines on valvular disease at the time the study was designed.11 Conservative treatment included the treatment of risk factors and comorbidities.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eh_58abdac52262aa33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Diabetes mellitus 14 (17.9%) 23 (29.1%) .07</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eh_7961ea6680167af2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Current registry-linked sap: SAP_000.pdf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ba0a93294998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Avatar trial protocol -Amendment to surgical delays-   Aortic Valve Replacement Versus Conservative Treatment in Asymptomatic Severe Aortic Stenosis (AVATAR trial) NCT number : NCT02436655. Date of amendment: 04.01.2021</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eh_7ad155913c1c5826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CIRCULATIONAHA.121.057639.pdf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592b9a6c531c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Trial End Points The primary end point was a composite of all-cause mortality or major adverse cardiovascular events (MACEs) composed of acute myocardial infarction, stroke, and unplanned HF hospital- ization needing intravenous treatment with diuretics or inotro- pes. Prespecified secondary end points included the following: • In-hospital and 30-day postoperative mortality in oper- ated patients in both groups • Repeat aortic valve surgery in operated patients in both groups • Repeated MACEs, including stroke, acute myocardial infarction, or unplanned HF hospitalization needing IV diuretic treatment • Major bleeding defined as types 3, 4, and 5 according to the consensus report from the Bleeding Academic Research Consortium13 • Thromboembolic complications on the basis of clinical symptoms, signs, and imaging studies • Time to death • Time to first HF hospitalization</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eh_92eed84c7b98e37c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Table 2 Selected baseline characteristics of the study population Early surgery group (n = 78) Conservative treatment group (n = 79) P-value Demographics and comorbidities Age, years, median (IQR) 68 (63-73) 69 (64-75) .02 Sex (female) 32 (41.0%) 35 (44.3%) .67 STS score, median (IQR) 1.6 (1.1-2.2) 1.8 (1.2-2.7) .67 Days from randomization to surgery, median (IQR) 55 (36-79) 476 (226-1098) &lt;.001 Diabetes mellitus 14 (17.9%) 23 (29.1%) .07 Hypertension 69 (88.4%) 70 (88.6%) .44 History of PCI 1 (1.3%) 2 (2.5%) .44 History of stroke 2 (2.5%) 2 (2.5%) .92 Peripheral arterial disease 0 (0%) 1 (1.36%) .80 Laboratory parameters BNP, pg/mLa, median (IQR) 83 (53-127) 89 (58-149) .61 NT-proBNP, pg/mLa, median (IQR) 381 (153-660) 347 (186-722) .45 Haemoglobin, g/L, median (IQR) 141 (131-150) 134 (128-141) .01 Creatinine, μmol/L, median (IQR) 80 (66-94) 76 (67-92) .27 Blood glucose, mmol/L, median (IQR) 5.6 (5.3-6.7) 5.6 (5.1-6.8) .70 Echocardiography LVESV, mL, median (IQR) 28 (20-41) 33 (22-42) .96 LVEDV, mL, median (IQR) 113 (89-142) 113 (96-126) .54 LV mass index, g/m2, median (IQR) 152 (133-175) 160 (139-183) .67 Left atrium, cm 4.1 (3.8-4.4) 4.2 (3.9-4.4) .68 SVi, mL/m2, median (IQR) 39 (33-48) 42 (34-51) .58 PA systolic pressure, mmHg, median (IQR) 30 (26-36) 30 (27-37) .82 Vmax, m/s, median (IQR) 4.5 (4.3-4.8) 4.5 (4.2-4.7) .13 Pmean, mmHg, median (IQR) 51 (44-58) 50 (43-59) .16 Pmax, mmHg, median (IQR) 82 (74-90) 79 (70-90) .18 AVA, cm2, median (IQR) 0.73 (0.55-0.84) 0.74 (0.59-0.89) .29 AVAi, cm2/m2, median (IQR) 0.37 (0.3-0.42) 0.37 (0.31-0.46) .08 E/eʹ, median (IQR) 12.2 (9.6-16.3) 12.2 (8.8-18.1) .54</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eh_975aac3202107531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ClinicalTrials.gov NCT02436655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d32e23eb2a1e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Masking info - Masking: NONE</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eh_af1340e6c28a70eb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group was 67.9 years, while the mean age of patients in the early surgery group was 65.4 years (P = .19). Four patients in the conservative treat ment group underwent TAVI procedure. Indications for surgery in the conservative treatment group are shown in Table 3. Median time to sur gery upon establishing the indication was 123 days (IQR 90-297 days). There were no significant baseline differences between the patients in the conservative group who remained AVR-free during follow-up and those who later underwent AVR (see Supplementary data online, Table S1). Patients in the conservative group on the watchful waiting, in cluding those undergoing valve surgery, experienced a progressive increase in the aortic valve severity associated with a significant decline in LVEF over time (see Supplementary data online, Tables S2 and S3, respectively). In total, 57/107 (53.3%) patients received a bioprosthetic valve and 50/107 received a mechanical valve (46.7%). In the early surgery group, 34/72 (47.2%) received a bioprosthetic valve, while 23/35 (65.7%) pa tients received a bioprosthetic valve in the conservative treatment group (P = .32). Three patients in early surgery group (3/78; 3.8%) and four pa tients in the conservative treatment group (4/35; 11.4%) have undergone concomitant coronary artery bypass grafting. No peri-procedural myo cardial infarction has been noticed. The intraoperative mortality was low in both groups (1.3% in the early surgery vs. 2.5% in the conservative group; P = .54). There was no difference in length of hospitalization in the early surgery group vs. operated patients in the conservative treatment group (8.8 vs. 9.1 days; P = .87). Details of post-operative aortic valve function, procedural time, and mean hospitalization length between both groups are shown in Supplementary data online, Table S4. Three pa tients (3/78, 3.8%) in the early surgery group, and 1/35 (2.86%) patient in the conservative treatment group underwent redo AVR procedure (P = .79; Supplementary data online, Table S5. Outcomes There were a total of 55 primary outcome events comprising a com posite of all-cause mortality or acute myocardial infarction, stroke, and unplanned HF hospitalization. A primary outcome event occurred in 18/78 patients (23.1%) in the early surgery group and in 37/79 pa tients (46.8%) in the conservative treatment group (HR with early sur gery vs. conservative treatment 0.42; 95% CI 0.24-0.73, P = .002; Figure 2). Forty patients died during follow-up: 13/78 (16.7%) in the early surgery group and 27/79 (34.17%) in the conservative treatment group. In the early surgery group, 11/72 patients died after valve surgery at median of 362 days (IQR 116-1211), of which 8 were cardiovascular deaths. In the conservative group, 8/35 patients died after surgery at shorter median of 131 days (IQR 47.8-603), of which 5 were cardiovas cular deaths. Mortality causes for individual subjects are detailed in Supplementary data online, Tables S6A and S6B. Kaplan-Meier estimates of the individual endpoints of all-cause death and HF hospitalization were significantly lower in the early surgery compared with the conservative group (HR 0.44; 95% CI 0.23-0.85, P = .012, for all-cause death and HR 0.21; 95% CI 0.06-0.73, P = .007, for HF hospitalizations) (Figure 3 and Table 4). The risk of repeated MACE was significantly higher in the conservative treatment group (Table 4). Sudden cardiac death occurred in 9/79 patients (11.4%) in the con servative group compared with 4/78 patients (5.1%) in the early surgery group (P = .17; Table 4). The annual rate of sudden cardiac death was twice higher in the conservatively treated group as compared with early surgery group (2.2% vs. 1%; P = .32). If not considering symptomatic pa tients in the watchful waiting group who died suddenly at home, the an nual rate of sudden cardiac death in the conservative group reached 1.48%. One patient randomized to the early surgery group died sud denly while awaiting the surgery. There was a trend for higher rates of cardiovascular deaths in the conservative treatment group over time (19.3% vs. 11.6%; P = .1; Figure 4). The incidence of serious adverse events was also significantly higher in the conservative treatment group (49.4% vs. 26.4%; P = .013) (Table 4). No difference between groups was observed in the safety outcomes including major bleeding and thromboembolic complications (5.1% vs. 3.8%; P = .69; and 5.1% vs. 3.8%; P = .69; respectively; Table 4). In a post hoc heterogeneity analysis in the study population, no signifi cant interaction for heterogeneity was noted for any of the analysed parameters (see Supplementary data online, Figure S1) indicating that results are consistent across different patients' subgroups. Discussion The main findings from the extended follow-up of the AVATAR trial can be summarized as follows: (i) the primary composite outcome comprising of all-cause death, acute myocardial infarction, stroke, and HF hospitalizations was significantly and consistently lower with the early surgery approach compared with the conservative treatment ap proach; (ii) patients on conservative strategy appeared at almost 50% p = 0.01 HR = 0.44 (95% CI 0.23 to 0.85) 0% 10% 20% 30% 40% 50% 60% All-cause death incidence 79 71 61 39 14 Control 78 72 71 52 15 Early surgery Participants, n 0 20 40 60 80 Time (Months) Early surgery Conservative treatment p = 0.007 HR = 0.21 (95% CI 0.06 to 0.73) 0% 10% 20% 30% 40% 50% 60% HF hospitalization incidence 79 65 55 32 11 Control 78 71 70 51 15 Early surgery Participants, n 0 20 40 60 80 Time (Months) Early surgery Conservative treatment Figure 3 Cumulative incidence of all-cause death (upper panel) and heart failure hospitalization (lower panel) (intention-to-treat population) 4532 Banovic et al. Downloaded from academic.oup.com/eurheartj/article/45/42/4526/7742145 by guest on 03 October 2026</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eh_c8e0958840636206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3-year follow-up information available for all patients. For binary outcomes, we used a generalized linear model assuming a binomial distribution with a log link function to report risk ratios and 95% CI. We conducted subgroup analyses accompanied by a P for interaction to assess the consistency of the treatment effect on the primary outcome according to the following pre- defined variables: age (&lt;65 vs. ≥65), sex, baseline ejection fraction (&lt;60% vs. ≥60%), and country of trial site. P-values and 95% CI for secondary out comes and secondary analyses of the primary outcome were not adjusted for multiple testing and are considered exploratory. For the post hoc ana lyses of echocardiography readouts of valve severity and LVEF in patients in the conservative group, we calculated the mean change from baseline to 12-month follow-up for all patients in the conservative group with avail able data and the mean change from baseline to final follow-up for all pa tients in the conservative group that underwent surgery and had available data. We conducted paired t-tests to derive P-values and 95% CI for the mean changes from baseline.11 This analysis was repeated for patients in the conservative group that underwent AVR. Analyses were performed using Stata, version 18.0. Results Patients and follow-up Main patient characteristics at baseline are summarized in Table 2. The average age of enrolled patients was 67 years, 57% were men, the ma jority of patients had a degenerative aetiology of AS (84.7%), and the median estimated operative mortality according to the Society of Thoracic Surgeons predicted risk of mortality score was 1.7%. No sig nificant heterogeneity between both groups was noted. All patients were included in the analysis. Median follow-up for all patients was 63 months [interquartile range (IQR) 48-75). Median follow-up in sur vivors was 68 months (IQR 58-79). One patient, who was randomized to early surgery, has been lost to follow-up, and this patient was cen sored when the last follow-up information was available and included in the intention-to-treat analysis (Figure 1). Aortic valve replacement procedures In the early surgery group, AVR was performed in 72 of the 78 patients (92.3%). Among the six patients that did not undergo AVR per random ization, one patient, as above mentioned, was lost to follow-up, and one died prior to valve surgery. Four patients were available for the extended follow-up. Among them, one patient died unoperated after 2113 days; two became symptomatic and underwent intervention after 691 and 791 days, respectively; and one remained asymptomatic and AVR free throughout the entire follow-up (Figure 1). The median time from ran domization to AVR in the early surgery group was 55 days (IQR 36-79). Thirty-five out of the 79 patients (44.3%) in the conservative treatment group had surgery during follow-up. Median time from randomization to surgery in the conservative treatment group was 476 days (IQR 226-1098). At the time of AVR, the mean age of patients in the control p = 0.002 HR = 0.42 (95% CI 0.24 to 0.73) 0% 10% 20% 30% 40% 50% 60% Primary composite endpoint incidence 79 61 52 29 11 Control 78 69 67 48 13 Early surgery Participants, n 0 20 40 60 80 Time (Months) Early surgery Conservative treatment Figure 2 Cumulative incidence of primary composite outcome (intention-to-treat population) Table 3 Indications for aortic valve replacement in the conservative treatment group Symptom onset (including increased fatigue) 18 (51.4%) AS progression 6 (17.1%) Decrease in LVEF 3 (8.6%) Combination of factors 8 (22.9%) AS, aortic stenosis; LVEF, left ventricular ejection fraction. Aortic valve replacement vs. conservative treatment 4531 Downloaded from academic.oup.com/eurheartj/article/45/42/4526/7742145 by guest on 03 October 2026  [Extracted table 1] |Symptom onset (including increased fatigue) 1|8 (51.4%)| |---|---| |AS progression 6 (17.1%)|| |Decrease in LVEF|3 (8.6%)| |Combination of factors 8 (22.9%)||</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eh_d54a2600ddc753b3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ClinicalTrials.gov NCT02436655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d32e23eb2a1e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Primary outcome 1: all cause death, Major Adverse Cardiac Event (MACE) including: ( Acute Myocardial Infarction - AMI, Stroke - CVI, unplanned hospitalization for Heart failure (HF) needing intravenous treatment - Measure: all cause death, Major Adverse Cardiac Event (MACE) including: ( Acute Myocardial Infarction - AMI, Stroke - CVI, unplanned hospitalization for Heart failure (HF) needing intravenous treatment - Time frame: 36 months  ### Primary outcome 2: all cause death, Major Adverse Cardiac Event (MACE) including: ( Acute Myocardial Infarction - AMI, Stroke - CVI, unplanned hospitalization for Heart failure (HF) needing intravenous treatment - Measure: all cause death, Major Adverse Cardiac Event (MACE) including: ( Acute Myocardial Infarction - AMI, Stroke - CVI, unplanned hospitalization for Heart failure (HF) needing intravenous treatment - Time frame: 5 years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eh_d6c269341c7d8a5d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CIRCULATIONAHA.121.057639.pdf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592b9a6c531c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randomly assigned to early surgery or conservative treatment using a web-based interactive response system. The assign- ment to each treatment group was computer-generated and stratified according to the participating centers by means of a permuted-block sequence with variable block size. Details</w:t>
            </w:r>
          </w:p>
        </w:tc>
      </w:tr>
      <w:tr>
        <w:trPr>
          <w:trHeight w:val="4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eh_e66d374e838e8c6d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ehae585.pdf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a890f771fd05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nificant heterogeneity between both groups was noted. All patients were included in the analysis. Median follow-up for all patients was 63 months [interquartile range (IQR) 48-75). Median follow-up in sur vivors was 68 months (IQR 58-79). One patient, who was randomized to early surgery, has been lost to follow-up, and this patient was cen sored when the last follow-up information was available and included in the intention-to-treat analysis (Figure 1).</w:t>
            </w:r>
          </w:p>
        </w:tc>
      </w:tr>
      <w:tr>
        <w:trPr>
          <w:trHeight w:val="49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eh_f625637d366df2a0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CIRCULATIONAHA.121.057639.pdf</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592b9a6c531c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were compared by using 2-sample t tests. A Kaplan-Meier estimator was used to estimate the distribution of time to pri- mary and time-to-event secondary end points (eg, survival and time to first HF hospitalization) and a log-rank test to compare them between the 2 treatment groups. A Cox proportional- hazards regression model that included treatment was used to estimate the hazard ratio comparing the early surgery and the conservative treatment groups. For dichotomous second-</w:t>
            </w:r>
          </w:p>
        </w:tc>
      </w:tr>
      <w:tr>
        <w:trPr>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Illustrative all-cause-death assessment, Banovic 2024. All ARBITER answers, full evidence-record quotes, basis types, justifications, unknowns and source locations are shown alongside Unassisted answers and verbatim domain rationale. Inactive questions follow branching. Part A lists each of the 22 questions once, with inactive questions marked not asked. Part B lists each of the 16 archived evidence records (15 cited by the current answers; one additional captured record retained) once. Full quotes retain every word; original line breaks are collapsed to spaces for compactness in this display. Machine-readable full trace: analysis/data-derived/avatar-trace.json. This eTable alone uses landscape pages and Arial 8 pt. Figure and table numbers inside verbatim quotations refer to the original source documents. Source hashes identify captured source versions. Original clinical wording in quotations and rationale is retained verbatim; it does not name an analysis arm. CI, confidence interval; IQR, interquartile range; USD, US dollars; RoB 2, risk of bias tool for randomised trials; D1–D5, its five domains; Y/PY, yes/probably yes; N/PN, no/probably no; NI, no information; NA, not applicable. All counts are numbers of the units named in the headers; — means undefined or not applicable.</w:t>
            </w:r>
          </w:p>
        </w:tc>
      </w:tr>
    </w:tbl>
    <w:p>
      <w:pPr>
        <w:sectPr>
          <w:pgMar w:header="708" w:bottom="864" w:top="864" w:right="936" w:left="936" w:footer="708" w:gutter="0"/>
          <w:pgSz w:h="11909" w:w="16834" w:orient="landscape"/>
          <w:type w:val="continuous"/>
          <w:cols/>
        </w:sectPr>
      </w:pPr>
    </w:p>
    <w:p>
      <w:pPr>
        <w:pStyle w:val="Titre2"/>
      </w:pPr>
      <w:r>
        <w:t xml:space="preserve">eFigure 2. Disagreement patterns and preferred judgements</w:t>
      </w:r>
    </w:p>
    <w:p>
      <w:pPr>
        <w:pStyle w:val="Normal"/>
      </w:pPr>
      <w:r>
        <w:rPr/>
        <w:drawing>
          <wp:inline distT="0" distB="0" distL="0" distR="0">
            <wp:extent cx="6126480" cy="3344917"/>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6126480" cy="3344917"/>
                    </a:xfrm>
                    <a:prstGeom prst="rect">
                      <a:avLst/>
                    </a:prstGeom>
                    <a:noFill/>
                  </pic:spPr>
                </pic:pic>
              </a:graphicData>
            </a:graphic>
          </wp:inline>
        </w:drawing>
      </w:r>
    </w:p>
    <w:p>
      <w:pPr>
        <w:pStyle w:val="ManuscriptBody"/>
      </w:pPr>
      <w:r>
        <w:t xml:space="preserve">All 154 disputed cells, grouped by disagreement with Published and preferred-label outcome. Counts use label equality; split cells are separate. Shared labels count as both arms preferred.</w:t>
      </w:r>
    </w:p>
    <w:p>
      <w:pPr/>
      <w:r>
        <w:br w:type="page"/>
      </w:r>
    </w:p>
    <w:p>
      <w:pPr>
        <w:pStyle w:val="Titre1"/>
      </w:pPr>
      <w:r>
        <w:t xml:space="preserve">Prompt templates and a filled example</w:t>
      </w:r>
    </w:p>
    <w:p>
      <w:pPr>
        <w:pStyle w:val="Titre2"/>
      </w:pPr>
      <w:r>
        <w:t xml:space="preserve">ARBITER template</w:t>
      </w:r>
    </w:p>
    <w:p>
      <w:pPr>
        <w:pStyle w:val="ManuscriptBody"/>
      </w:pPr>
      <w:r>
        <w:t xml:space="preserve">/arbiter-assess Assess risk of bias for {outcome} defined as {definition} in {trial}.</w:t>
      </w:r>
    </w:p>
    <w:p>
      <w:pPr>
        <w:pStyle w:val="Titre2"/>
      </w:pPr>
      <w:r>
        <w:t xml:space="preserve">ARBITER example</w:t>
      </w:r>
    </w:p>
    <w:p>
      <w:pPr>
        <w:pStyle w:val="ManuscriptBody"/>
      </w:pPr>
      <w:r>
        <w:t xml:space="preserve">/arbiter-assess Assess risk of bias for Adverse events graded by CTCAE v4.0; 'Grade 3 (severe AEs)' row of Table 3; patients with grade 3 events in Table 4 defined as Table 3 Grade 3 (severe AEs) number of AEs: 600 mg 6, 900 mg 5, 1,200 mg 9 (all subjects 20); Grade 4: 0; Grade 5 (death): 1 per arm. Table 4 total no. of patients with grade 3 events: 2, 4, 5. Abstract: 'Grade 3 adverse events occurred in only 2 patients in the 600-mg arm, 4 patients in the 900-mg arm, and 5 patients in the 1,200-mg arm.' in Aarnoutse 2017.</w:t>
      </w:r>
    </w:p>
    <w:p>
      <w:pPr>
        <w:pStyle w:val="Titre2"/>
      </w:pPr>
      <w:r>
        <w:t xml:space="preserve">Unassisted template</w:t>
      </w:r>
    </w:p>
    <w:p>
      <w:pPr>
        <w:pStyle w:val="ManuscriptBody"/>
      </w:pPr>
      <w:r>
        <w:t xml:space="preserve">Assess risk of bias for {outcome} defined as {definition} in {trial}.</w:t>
      </w:r>
    </w:p>
    <w:p>
      <w:pPr>
        <w:pStyle w:val="Titre2"/>
      </w:pPr>
      <w:r>
        <w:t xml:space="preserve">Unassisted output-format instruction</w:t>
      </w:r>
    </w:p>
    <w:p>
      <w:pPr>
        <w:pStyle w:val="ManuscriptBody"/>
      </w:pPr>
      <w:r>
        <w:t xml:space="preserve">When you have finished, give your answers in this format: a table with one row per signalling question (columns: domain, question number, answer as Y, PY, PN, N, NI or NA), and then a final line exactly like "FINAL: D1=&lt;judgement&gt;; D2=&lt;judgement&gt;; D3=&lt;judgement&gt;; D4=&lt;judgement&gt;; D5=&lt;judgement&gt;; Overall=&lt;judgement&gt;", where each judgement is Low, Some concerns or High.</w:t>
      </w:r>
    </w:p>
    <w:p>
      <w:pPr>
        <w:pStyle w:val="Titre1"/>
      </w:pPr>
      <w:r>
        <w:t xml:space="preserve">Run provenance</w:t>
      </w:r>
    </w:p>
    <w:p>
      <w:pPr>
        <w:pStyle w:val="ManuscriptBody"/>
      </w:pPr>
      <w:r>
        <w:t xml:space="preserve">Models claude-sonnet-5-5 and claude-haiku-5-5; effort medium; Claude Code 2.1.278; isolated configuration homes. ARBITER 1.0.0, public commit 2f549ae30f056ff441ea61a04b719968716f2219. ARBITER with Sonnet ran 12 October 2026 (12:12-19:17 EDT); other arms ran 14 October 2026. Harness approved the proposed result unchanged and replied Approved.; uncoached Continue. replies were permitted at most twice per phase. Each trial ran once in each arm; run-to-run variability is not estimated. Unassisted access was limited to Read, Glob and Grep, without an MCP server, skills or web tools. Supplied registry Markdown and acquired protocol/SAP documents preserved input parity. Trial PDFs are not redistributed; source DOIs and FILES.csv hashes identify them. Bootstrap seed 20261018, 10,000 replicates; R/renv/Quarto versions are recorded in the project lockfile and session-info.txt.</w:t>
      </w:r>
    </w:p>
    <w:sectPr>
      <w:pgMar w:header="708" w:bottom="864" w:top="864" w:right="936" w:left="936"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xmlns:w="http://schemas.openxmlformats.org/wordprocessingml/2006/main" w:type="paragraph" w:customStyle="1" w:styleId="Titre1">
    <w:name w:val="heading 1"/>
    <w:basedOn w:val="Normal"/>
    <w:pPr>
      <w:jc w:val="left"/>
      <w:keepNext/>
      <w:pBdr>
        <w:bottom w:val="none" w:sz="0" w:space="0" w:color="000000"/>
        <w:top w:val="none" w:sz="0" w:space="0" w:color="000000"/>
        <w:left w:val="none" w:sz="0" w:space="0" w:color="000000"/>
        <w:right w:val="none" w:sz="0" w:space="0" w:color="000000"/>
      </w:pBdr>
      <w:spacing w:after="120" w:before="160" w:line="240"/>
      <w:ind w:left="0" w:right="0" w:firstLine="0" w:firstLineChars="0"/>
    </w:pPr>
    <w:rPr>
      <w:rFonts w:ascii="Arial" w:hAnsi="Arial" w:eastAsia="Arial" w:cs="Arial"/>
      <w:i w:val="false"/>
      <w:b w:val="true"/>
      <w:u w:val="none"/>
      <w:strike w:val="false"/>
      <w:sz w:val="24"/>
      <w:szCs w:val="24"/>
      <w:color w:val="000000"/>
    </w:rPr>
  </w:style>
  <w:style xmlns:w="http://schemas.openxmlformats.org/wordprocessingml/2006/main" w:type="paragraph" w:customStyle="1" w:styleId="Titre2">
    <w:name w:val="heading 2"/>
    <w:basedOn w:val="Normal"/>
    <w:pPr>
      <w:jc w:val="left"/>
      <w:keepNext/>
      <w:pBdr>
        <w:bottom w:val="none" w:sz="0" w:space="0" w:color="000000"/>
        <w:top w:val="none" w:sz="0" w:space="0" w:color="000000"/>
        <w:left w:val="none" w:sz="0" w:space="0" w:color="000000"/>
        <w:right w:val="none" w:sz="0" w:space="0" w:color="000000"/>
      </w:pBdr>
      <w:spacing w:after="80" w:before="120" w:line="240"/>
      <w:ind w:left="0" w:right="0" w:firstLine="0" w:firstLineChars="0"/>
    </w:pPr>
    <w:rPr>
      <w:rFonts w:ascii="Arial" w:hAnsi="Arial" w:eastAsia="Arial" w:cs="Arial"/>
      <w:i w:val="false"/>
      <w:b w:val="true"/>
      <w:u w:val="none"/>
      <w:strike w:val="false"/>
      <w:sz w:val="20"/>
      <w:szCs w:val="20"/>
      <w:color w:val="000000"/>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xmlns:w="http://schemas.openxmlformats.org/wordprocessingml/2006/main" w:type="paragraph" w:customStyle="1" w:styleId="ManuscriptBody">
    <w:name w:val="Manuscript body"/>
    <w:basedOn w:val="Normal"/>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Pr>
      <w:rFonts w:ascii="Arial" w:hAnsi="Arial" w:eastAsia="Arial" w:cs="Arial"/>
      <w:i w:val="false"/>
      <w:b w:val="false"/>
      <w:u w:val="none"/>
      <w:strike w:val="false"/>
      <w:sz w:val="20"/>
      <w:szCs w:val="2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77f48d0712dce3c464a50dd553fff4ab578dfbc.png"/>
<Relationship Id="rId8" Type="http://schemas.openxmlformats.org/officeDocument/2006/relationships/image" Target="media/aaad1fca024fc779feea042a567f6a7e9c779e1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2026-10-18T21:27:24Z</dcterms:modified>
  <cp:category/>
</cp:coreProperties>
</file>