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4. Reliability of the reference standard (95% CI)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88"/>
        <w:gridCol w:w="1992"/>
        <w:gridCol w:w="1992"/>
        <w:gridCol w:w="1992"/>
      </w:tblGrid>
      <w:tr>
        <w:trPr>
          <w:cantSplit/>
          <w:trHeight w:val="496" w:hRule="auto"/>
          <w:tblHeader/>
        </w:trPr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Weighted κ</w:t>
            </w:r>
          </w:p>
        </w:tc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AC2</w:t>
            </w:r>
          </w:p>
        </w:tc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Raw agreement</w:t>
            </w:r>
          </w:p>
        </w:tc>
      </w:tr>
      <w:tr>
        <w:trPr>
          <w:cantSplit/>
          <w:trHeight w:val="480" w:hRule="auto"/>
        </w:trPr>
        <w:tc>
          <w:tcPr>
            <w:gridSpan w:val="4"/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Between adjudicators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Independent judgements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(0.48–0.68)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 (0.61–0.77)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114/154 (74.0%) (68.2–79.9)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Preferred judgements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 (0.57–0.79)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(0.77–0.89)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129/154 (83.8%) (78.6–88.9)</w:t>
            </w:r>
          </w:p>
        </w:tc>
      </w:tr>
      <w:tr>
        <w:trPr>
          <w:cantSplit/>
          <w:trHeight w:val="480" w:hRule="auto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Adjudicator 1 independent vs …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−0.08 (−0.17 to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−0.06 (−0.18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34/154 (22.1%) (15.8–28.5)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ARBITER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 (0.41–0.62)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 (0.57–0.74)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107/154 (69.5%) (62.7–76.0)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Unassisted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 (0.13–0.30)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 (0.18–0.38)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69/154 (44.8%) (38.1–51.6)</w:t>
            </w:r>
          </w:p>
        </w:tc>
      </w:tr>
      <w:tr>
        <w:trPr>
          <w:cantSplit/>
          <w:trHeight w:val="480" w:hRule="auto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Adjudicator 2 independent vs …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−0.08 (−0.18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 (0.04–0.24)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42/154 (27.3%) (20.4–34.3)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ARBITER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 (0.56–0.76)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 (0.73–0.85)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120/154 (77.9%) (71.7–84.0)</w:t>
            </w:r>
          </w:p>
        </w:tc>
      </w:tr>
      <w:tr>
        <w:trPr>
          <w:cantSplit/>
          <w:trHeight w:val="49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Unassisted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 (0.19–0.42)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 (0.37–0.53)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76/154 (49.4%) (42.2–56.5)</w:t>
            </w:r>
          </w:p>
        </w:tc>
      </w:tr>
      <w:tr>
        <w:trPr>
          <w:cantSplit/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comparisons use the 154 disputed cells, selected because at least one Sonnet arm differed from Published. These comparisons cannot estimate agreement or published-label accuracy in the full benchmark. Independent judgements preceded blinded label presentation; preferred judgements selected among the three offered labels. Linearly weighted Cohen’s κ; Gwet’s AC2; raw agreement as n/N (%) with CI bounds in %. CI, confidence interval; 10,000 percentile bootstrap replicates, trials resampled within meta-analysis; seed 20261018.</w:t>
            </w:r>
          </w:p>
        </w:tc>
      </w:tr>
    </w:tbl>
    <w:sectPr>
      <w:pgMar w:header="708" w:bottom="864" w:top="864" w:right="936" w:left="936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xmlns:w="http://schemas.openxmlformats.org/wordprocessingml/2006/main" w:type="paragraph" w:customStyle="1" w:styleId="Titre1">
    <w:name w:val="heading 1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20" w:before="16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4"/>
      <w:szCs w:val="24"/>
      <w:color w:val="000000"/>
    </w:rPr>
  </w:style>
  <w:style xmlns:w="http://schemas.openxmlformats.org/wordprocessingml/2006/main" w:type="paragraph" w:customStyle="1" w:styleId="Titre2">
    <w:name w:val="heading 2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12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0"/>
      <w:szCs w:val="20"/>
      <w:color w:val="00000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ManuscriptBody">
    <w:name w:val="Manuscript body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Pr>
      <w:rFonts w:ascii="Arial" w:hAnsi="Arial" w:eastAsia="Arial" w:cs="Arial"/>
      <w:i w:val="false"/>
      <w:b w:val="false"/>
      <w:u w:val="none"/>
      <w:strike w:val="false"/>
      <w:sz w:val="20"/>
      <w:szCs w:val="2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2026-10-18T21:19:46Z</dcterms:modified>
  <cp:category/>
</cp:coreProperties>
</file>