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modelUsage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pStyle w:val="Titre2"/>
      </w:pPr>
      <w:r>
        <w:t xml:space="preserve">Error localisation</w:t>
      </w:r>
    </w:p>
    <w:p>
      <w:pPr>
        <w:pStyle w:val="ManuscriptBody"/>
      </w:pPr>
      <w:r>
        <w:t xml:space="preserve">Losses are consensus cells where a source label differs from preferred. A reference adjudicator is usable only when their independent judgement equals consensus preferred.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single decisive question; several decisive questions; jointly decisive (all discordant replacements reach preferred); no discordant questions with complete comparisons; not attributable. The no-discordance class can contain adjudicator-disagreement questions. Reference-judgement departures from their own answers are flagged. Frequencies count all individually decisive questions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RoB 2 guidance: https://www.riskofbias.info/welcome/rob-2-0-tool/current-version-of-rob-2. ARBITER source: https://github.com/AliSalman-et-al/ARBITER/tree/2f549ae30f056ff441ea61a04b719968716f2219. Pricing source: https://platform.claude.com/docs/en/about-claude/pricing.</w:t>
      </w:r>
    </w:p>
    <w:p>
      <w:pPr>
        <w:pStyle w:val="Titre1"/>
      </w:pPr>
      <w:r>
        <w:t xml:space="preserve">Supplementary results</w:t>
      </w:r>
    </w:p>
    <w:p>
      <w:pPr>
        <w:pStyle w:val="Titre2"/>
      </w:pPr>
      <w:r>
        <w:t xml:space="preserve">eTable 1.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376"/>
        <w:gridCol w:w="576"/>
        <w:gridCol w:w="1123"/>
        <w:gridCol w:w="1123"/>
        <w:gridCol w:w="1123"/>
        <w:gridCol w:w="1123"/>
        <w:gridCol w:w="112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Journal; year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Journal of the American College of Cardiology; 2025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Lancet Diabetes &amp; Endocrinology;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Lancet;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Clinical Infectious Diseases;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Clinical Journal of the American Society of Nephrology;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Lancet Neurology;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Human Reproduction Update;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Lancet Oncology;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American Journal of Sports Medicine;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Pediatrics;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Lancet Psychiatry;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Lancet Respiratory Medicine;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Lancet Rheumatology;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British Journal of Anaesthesia;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 cells show Low / Some concerns / High counts; 102 analysis-set trials. See main Table 1 for source journals and topics.</w:t>
            </w:r>
          </w:p>
        </w:tc>
      </w:tr>
    </w:tbl>
    <w:p>
      <w:pPr>
        <w:pStyle w:val="Titre2"/>
      </w:pPr>
      <w:r>
        <w:t xml:space="preserve">eTable 2. Process metrics: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 to 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 to 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 to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 to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 to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 to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 to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 to 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 to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 to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 to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 to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 to 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 to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 to 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 to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Median [IQR]; paired mean ARBITER minus Unassisted difference (95% CI). USD denotes API list-price equivalents, not expenditure. Thinking is part of output. CI, confidence interval; 10,000 percentile bootstrap replicates, trials resampled within meta-analysis; seed 20261018.</w:t>
            </w:r>
          </w:p>
        </w:tc>
      </w:tr>
    </w:tbl>
    <w:p>
      <w:pPr>
        <w:pStyle w:val="Titre2"/>
      </w:pPr>
      <w:r>
        <w:t xml:space="preserve">eTable 3. Process metrics: Haiku 5.5</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 to 9.3]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 to 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 to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 to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 to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 to 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 to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 to 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 to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 to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 to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 to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 to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 to 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 to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Exploratory; units and summaries as eTable 2. CI, confidence interval; 10,000 percentile bootstrap replicates, trials resampled within meta-analysis; seed 20261018.</w:t>
            </w:r>
          </w:p>
        </w:tc>
      </w:tr>
    </w:tbl>
    <w:p>
      <w:pPr>
        <w:pStyle w:val="Titre2"/>
      </w:pPr>
      <w:r>
        <w:t xml:space="preserve">eTable 4. Process totals and per-trial distributions, all arms</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median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cache_creation_tokens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493973.0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459698.2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544387.0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cache_read_tokens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4964973.0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4483250.5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5585994.2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18913.5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363154.0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cost_usd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agent_steps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6438.0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cache_creation_tokens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16789.5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25804.5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cache_read_tokens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24563.2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24957.5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108384.0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cost_usd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agent_steps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cache_creation_tokens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567770.0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cache_read_tokens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5789667.0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5246519.2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6297647.2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63792.5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2913354.0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cost_usd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agent_steps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cache_creation_tokens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26737.2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cache_read_tokens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44218.5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24767.0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125434.0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thinking_tokens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1059135.0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cost_usd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agent_steps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is minutes and cost is USD; other counts use native units. Median, first and third quartile, and total. Thinking is included in output. Harness cost is an unusable diagnostic with unknown cost basis.</w:t>
            </w:r>
          </w:p>
        </w:tc>
      </w:tr>
    </w:tbl>
    <w:p>
      <w:pPr>
        <w:pStyle w:val="Titre2"/>
      </w:pPr>
      <w:r>
        <w:t xml:space="preserve">eTable 5. Agreement against Published, all arms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(0.72–0.79)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(0.57–0.75)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(0.78–0.85)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(0.75–0.86)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(0.35–0.78)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(0.83–0.95)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(0.62–0.77)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(0.73–0.87)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(0.67–0.80)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(0.74–1.00)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(0.73–0.86)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(0.86–0.96)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(0.50–1.00)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(0.89–0.98)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(0.57–0.72)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(0.75–0.95)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(0.53–0.70)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(0.49–0.67)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(0.84–1.00)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(0.44–0.67)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(0.74–0.81)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(0.40–0.60)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(0.82–0.89)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(0.75–0.86)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(0.40–0.82)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(0.83–0.95)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(0.65–0.78)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(0.07–0.45)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(0.76–0.89)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(0.69–0.82)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(0.39–0.76)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(0.78–0.91)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(0.83–0.94)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(0.29–0.86)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(0.92–0.99)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(0.64–0.78)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(0.35–0.71)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(0.68–0.83)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(0.51–0.68)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(0.50–0.78)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(0.66–0.87)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(0.81–0.86)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(0.78–0.90)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(0.76–0.86)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(0.86–0.96)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(0.75–0.84)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(0.44–0.59)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(0.66–0.73)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(0.68–0.86)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(0.69–0.76)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(0.40–0.81)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(0.81–0.94)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(0.51–0.67)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(0.47–0.88)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(0.54–0.70)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(0.75–1.00)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(0.69–0.83)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(0.78–0.91)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(0.50–1.00)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(0.82–0.94)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(0.46–0.60)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(0.71–1.00)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(0.41–0.56)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(0.44–0.62)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(0.28–0.45)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(0.62–0.69)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(0.72–0.89)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(0.64–0.71)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(0.69–0.82)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(0.65–1.00)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(0.72–0.87)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(0.56–0.70)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(0.47–0.89)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(0.56–0.70)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(0.60–0.74)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(0.53–0.92)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(0.65–0.79)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(0.64–0.79)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(0.50–1.00)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(0.67–0.83)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(0.45–0.61)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(0.85–1.00)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(0.39–0.55)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(0.35–0.53)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(0.92–1.00)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(0.13–0.31)</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proportions. Not Low means Some concerns or High. All-Low rule has no variance; only accuracy and specificity are reported. Paired differences are on the original coefficient or proportion scale; — indicates undefined or not applicable.  CI, confidence interval; 10,000 percentile bootstrap replicates, trials resampled within meta-analysis; seed 20261018.</w:t>
            </w:r>
          </w:p>
        </w:tc>
      </w:tr>
    </w:tbl>
    <w:p>
      <w:pPr>
        <w:pStyle w:val="Titre2"/>
      </w:pPr>
      <w:r>
        <w:t xml:space="preserve">eTable 6.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(0.07–0.24)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(−0.08 to −0.01)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(−0.04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(−0.03 to 0.03)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(−0.41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(0.01–0.15)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(−0.10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(−0.27 to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(−0.22 to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(−0.11 to 0.08)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(−0.08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(0.14–0.48)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(−0.10 to 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(−0.04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(−0.04 to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(−0.07 to 0.02)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(−0.30 to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(0.05–0.20)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(0.12–0.53)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(−0.22 to −0.05)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(−0.09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(−0.26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(−0.11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(0.16–0.40)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(−0.33 to −0.10)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(−0.01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(0.04–0.25)</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original coefficient/proportion units.  CI, confidence interval; 10,000 percentile bootstrap replicates, trials resampled within meta-analysis; seed 20261018.</w:t>
            </w:r>
          </w:p>
        </w:tc>
      </w:tr>
    </w:tbl>
    <w:p>
      <w:pPr>
        <w:pStyle w:val="Titre2"/>
      </w:pPr>
      <w:r>
        <w:t xml:space="preserve">eTable 7.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(0.96–0.99)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(0.97–1.00)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(0.89–0.98)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(0.95–1.00)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(0.95–1.00)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(0.96–1.00)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(0.85–0.90)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(0.94–1.00)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(0.77–0.89)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(0.82–0.94)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(0.88–0.97)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(0.70–0.83)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(0.71–0.77)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(0.73–0.86)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(0.78–0.90)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(0.64–0.77)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(0.80–0.91)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(0.42–0.57)</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proportions. Not Low means Some concerns or High. All-Low rule has no variance; only accuracy and specificity are reported. Paired differences are on the original coefficient or proportion scale;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composite accuracy is not an abstract accuracy claim. CI, confidence interval; 10,000 percentile bootstrap replicates, trials resampled within meta-analysis; seed 20261018.</w:t>
            </w:r>
          </w:p>
        </w:tc>
      </w:tr>
    </w:tbl>
    <w:p>
      <w:pPr>
        <w:pStyle w:val="Titre2"/>
      </w:pPr>
      <w:r>
        <w:t xml:space="preserve">eTable 8.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(0.07–0.12)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(0.00–0.10)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(0.14–0.28)</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original coefficient/proportion units.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composite accuracy is not an abstract accuracy claim. CI, confidence interval; 10,000 percentile bootstrap replicates, trials resampled within meta-analysis; seed 20261018.</w:t>
            </w:r>
          </w:p>
        </w:tc>
      </w:tr>
    </w:tbl>
    <w:p>
      <w:pPr>
        <w:pStyle w:val="Titre2"/>
      </w:pPr>
      <w:r>
        <w:t xml:space="preserve">eTable 9.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(0.79–0.94)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(0.05–0.19)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(0.00–0.05)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(0.67–0.83)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(0.12–0.29)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(0.01–0.09)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(0.72–0.87)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(0.12–0.26)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(0.00–0.04)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(0.59–0.76)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(0.04–0.15)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(0.16–0.31)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discordant cells are forced ARBITER losses, without fabricating an Unassisted win; Neither includes these forced losses. CI, confidence interval; 10,000 percentile bootstrap replicates, trials resampled within meta-analysis; seed 20261018.</w:t>
            </w:r>
          </w:p>
        </w:tc>
      </w:tr>
    </w:tbl>
    <w:p>
      <w:pPr>
        <w:pStyle w:val="Titre2"/>
      </w:pPr>
      <w:r>
        <w:t xml:space="preserve">eTable 10. Composite sensitivity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(0.92–0.96)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(0.93–0.99)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(0.85–0.95)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(0.85–0.95)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(0.95–1.00)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(0.91–0.98)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(0.83–0.88)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(0.92–0.99)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(0.71–0.84)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(0.79–0.91)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(0.87–0.96)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(0.69–0.82)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(0.68–0.75)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(0.71–0.84)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(0.73–0.86)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(0.61–0.75)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(0.79–0.91)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(0.40–0.55)</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the adjudicator preferred judgement replaces Published on every disputed cell. Only three labels were offered. Unadjudicated concordant cells are assumed correct; absolute values are inflated. CI, confidence interval; 10,000 percentile bootstrap replicates, trials resampled within meta-analysis; seed 20261018.</w:t>
            </w:r>
          </w:p>
        </w:tc>
      </w:tr>
    </w:tbl>
    <w:p>
      <w:pPr>
        <w:pStyle w:val="Titre2"/>
      </w:pPr>
      <w:r>
        <w:t xml:space="preserve">eTable 11. Composite paired differences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(0.06–0.12)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(−0.04 to 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(0.05–0.21)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(0.12–0.27)</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Original coefficient/proportion units; 510 cells per arm; no consensus split exclusion. CI, confidence interval; 10,000 percentile bootstrap replicates, trials resampled within meta-analysis; seed 20261018.</w:t>
            </w:r>
          </w:p>
        </w:tc>
      </w:tr>
    </w:tbl>
    <w:p>
      <w:pPr>
        <w:pStyle w:val="Titre2"/>
      </w:pPr>
      <w:r>
        <w:t xml:space="preserve">eTable 12. Composite sensitivity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(0.94–0.97)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(0.95–1.00)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(0.83–0.94)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(0.94–1.00)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(0.94–1.00)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(0.94–1.00)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(0.83–0.89)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(0.89–0.98)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(0.77–0.89)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(0.78–0.90)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(0.88–0.97)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(0.69–0.82)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(0.70–0.76)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(0.74–0.85)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(0.76–0.88)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(0.61–0.73)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(0.79–0.91)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(0.44–0.59)</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the adjudicator preferred judgement replaces Published on every disputed cell. Only three labels were offered. Unadjudicated concordant cells are assumed correct; absolute values are inflated. CI, confidence interval; 10,000 percentile bootstrap replicates, trials resampled within meta-analysis; seed 20261018.</w:t>
            </w:r>
          </w:p>
        </w:tc>
      </w:tr>
    </w:tbl>
    <w:p>
      <w:pPr>
        <w:pStyle w:val="Titre2"/>
      </w:pPr>
      <w:r>
        <w:t xml:space="preserve">eTable 13. Composite paired differences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(0.06–0.20)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 to 0.09)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(0.15–0.28)</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Original coefficient/proportion units; 510 cells per arm; no consensus split exclusion. CI, confidence interval; 10,000 percentile bootstrap replicates, trials resampled within meta-analysis; seed 20261018.</w:t>
            </w:r>
          </w:p>
        </w:tc>
      </w:tr>
    </w:tbl>
    <w:p>
      <w:pPr>
        <w:pStyle w:val="Titre2"/>
      </w:pPr>
      <w:r>
        <w:t xml:space="preserve">eTable 14. Missing-judgement sensitivity: paired observed Haiku cells</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(0.67–0.74)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(0.68–0.86)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(0.71–0.77)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(0.75–0.87)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(0.40–0.81)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(0.82–0.95)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(0.51–0.67)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(0.47–0.88)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(0.55–0.70)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(0.64–0.78)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(0.75–1.00)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(0.70–0.84)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(0.79–0.92)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(0.50–1.00)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(0.83–0.95)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(0.47–0.60)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(0.71–1.00)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(0.41–0.56)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(0.45–0.62)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(0.29–0.46)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(0.62–0.69)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(0.72–0.89)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(0.64–0.71)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(0.68–0.82)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(0.65–1.00)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(0.72–0.87)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(0.55–0.70)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(0.47–0.89)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(0.56–0.69)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(0.53–0.92)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(0.65–0.79)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(0.64–0.79)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(0.50–1.00)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(0.67–0.83)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(0.46–0.61)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(0.85–1.00)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(0.40–0.56)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(0.35–0.53)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(0.92–1.00)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(0.14–0.32)</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same five absent domain cells and any absent Overall cell are removed from both Haiku arms. CI, confidence interval; 10,000 percentile bootstrap replicates, trials resampled within meta-analysis; seed 20261018.</w:t>
            </w:r>
          </w:p>
        </w:tc>
      </w:tr>
    </w:tbl>
    <w:p>
      <w:pPr>
        <w:pStyle w:val="Titre2"/>
      </w:pPr>
      <w:r>
        <w:t xml:space="preserve">eTable 15. Missing-judgement sensitivity: paired Haiku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 to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(−0.41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(0.04–0.16)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(−0.13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(−0.22 to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(−0.10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(0.00–0.10)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(0.08–0.22)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(−0.30 to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(0.07–0.21)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(−0.09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(−0.26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0.11)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 minus 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(−0.01 to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(0.05–0.26)</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 confidence interval; 10,000 percentile bootstrap replicates, trials resampled within meta-analysis; seed 20261018.</w:t>
            </w:r>
          </w:p>
        </w:tc>
      </w:tr>
    </w:tbl>
    <w:p>
      <w:pPr>
        <w:pStyle w:val="Titre2"/>
      </w:pPr>
      <w:r>
        <w:t xml:space="preserve">eTable 16. Confusion matrices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Rows are Published; columns are predicted labels. Zero cells are retained. Missing predictions are a separate column.</w:t>
            </w:r>
          </w:p>
        </w:tc>
      </w:tr>
    </w:tbl>
    <w:p>
      <w:pPr>
        <w:pStyle w:val="Titre2"/>
      </w:pPr>
      <w:r>
        <w:t xml:space="preserve">eTable 17. Per-meta-analysis weighted kappa</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Meta-analysis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ajsm-acl-leap</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bja-prehab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cid-rifampin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cjasn-iga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hru-preconception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jacc-avr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jama-sglt2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jamapeds-pda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lancet-clopidogrel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lde-glp1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lneurol-neuropathic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loncol-cdk46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lpsych-cannabinoids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lrheum-lbp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lrm-preox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ajsm-acl-leap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bja-prehab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cid-rifampin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cjasn-iga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hru-preconception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jacc-avr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jama-sglt2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jamapeds-pda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lancet-clopidogrel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lde-glp1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lneurol-neuropathic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loncol-cdk46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lpsych-cannabinoids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lrheum-lbp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lrm-preox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ajsm-acl-leap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bja-prehab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cid-rifampin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cjasn-iga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hru-preconception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jacc-avr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jama-sglt2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jamapeds-pda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lancet-clopidogrel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lde-glp1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lneurol-neuropathic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loncol-cdk46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lpsych-cannabinoids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lrheum-lbp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lrm-preox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ajsm-acl-leap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bja-prehab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cid-rifampin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cjasn-iga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hru-preconception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jacc-avr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jama-sglt2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jamapeds-pda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lancet-clopidogrel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lde-glp1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lneurol-neuropathic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loncol-cdk46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lpsych-cannabinoids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lrheum-lbp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lrm-preox</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eFigure 1 displays these estimates; undefined coefficients are omitted from the plot. CI, confidence interval; 10,000 percentile bootstrap replicates, trials resampled within meta-analysis; seed 20261018.</w:t>
            </w:r>
          </w:p>
        </w:tc>
      </w:tr>
    </w:tbl>
    <w:p>
      <w:pPr>
        <w:pStyle w:val="Titre2"/>
      </w:pPr>
      <w:r>
        <w:t xml:space="preserve">eFigure 1. Agreement against Published by meta-analysis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Meta-analysis IDs match the accompanying CSV. Descriptive estimates only; no statistical tests. CI, confidence interval; 10,000 percentile bootstrap replicates, trials resampled within meta-analysis; seed 20261018.</w:t>
      </w:r>
    </w:p>
    <w:p>
      <w:pPr>
        <w:pStyle w:val="Titre2"/>
      </w:pPr>
      <w:r>
        <w:t xml:space="preserve">eTable 18. RoB 2 rule consistency and structural audit, all arms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 (0.97–1.00)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 (0.88–0.95)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 (0.05–0.09)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 (0.00–0.04)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 (0.84–0.90)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 (0.61–0.68)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 (0.00–0.01)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(0.03–0.07)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 (0.23–0.29)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 (0.07–0.11)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(0.10–0.16)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 (0.32–0.39)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 (0.01–0.09)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 (0.05–0.16)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 (0.01–0.09)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 (0.05–0.16)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(0.89–0.97)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 (0.37–0.55)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 (0.01–0.06)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 (0.10–0.22)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 (0.29–0.47)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 (0.03–0.11)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(0.75–0.88)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 (0.11–0.23)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 (0.01–0.09)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 (0.12–0.25)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 (0.58–0.74)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(0.50–0.68)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 (0.25–0.43)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 (0.24–0.39)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 (0.03–0.12)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 (0.32–0.50)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 (0.81–0.93)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 (0.37–0.55)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 (0.06–0.18)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(0.44–0.62)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 (0.07–0.19)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 (0.03–0.13)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 (0.01–0.08)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(95% CI, bounds as proportions).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p>
      <w:pPr>
        <w:pStyle w:val="Titre2"/>
      </w:pPr>
      <w:r>
        <w:t xml:space="preserve">eTable 19.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resolution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violations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counts are not new assessments.</w:t>
            </w:r>
          </w:p>
        </w:tc>
      </w:tr>
    </w:tbl>
    <w:p>
      <w:pPr>
        <w:pStyle w:val="Titre2"/>
      </w:pPr>
      <w:r>
        <w:t xml:space="preserve">eTable 20.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78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slug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no_information: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baseline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hill-2017 D1: 1.1 = NI, 1.2 = PY, 1.3 = N. Rationale is verbatim model text, not endorsed guidance. Proposed Low; adopted Some concerns. Evidence identities remain in the accompanying CSV. The proposed-algorithm validation gate passes.</w:t>
            </w:r>
          </w:p>
        </w:tc>
      </w:tr>
    </w:tbl>
    <w:p>
      <w:pPr>
        <w:pStyle w:val="Titre2"/>
      </w:pPr>
      <w:r>
        <w:t xml:space="preserve">eTable 21. API cost reconstruction: point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3600"/>
        <w:gridCol w:w="42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total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median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Lower/upper are reconstruction bounds, not sampling CIs; side_5m is the five-minute side-call write sensitivity. Harness figures are unusable (unrecognised model; unknown basis).</w:t>
            </w:r>
          </w:p>
        </w:tc>
      </w:tr>
    </w:tbl>
    <w:p>
      <w:pPr>
        <w:pStyle w:val="Titre2"/>
      </w:pPr>
      <w:r>
        <w:t xml:space="preserve">eTable 22.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3600"/>
        <w:gridCol w:w="42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input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 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without compaction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 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without compaction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 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without compaction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 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without compaction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Native token counts. Result denotes terminal usage; gap is signed result minus request; side is modelUsage minus terminal usage. Side calls without a compaction boundary are flagged.</w:t>
            </w:r>
          </w:p>
        </w:tc>
      </w:tr>
    </w:tbl>
    <w:p>
      <w:pPr>
        <w:pStyle w:val="Titre2"/>
      </w:pPr>
      <w:r>
        <w:t xml:space="preserve">eTable 23.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3600"/>
        <w:gridCol w:w="42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(0.01–0.03)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(0.02–0.05)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(0.00–0.00)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Paired straight or curly double quotes must enclose at least five whitespace-separated words. Syntax is not verification; this understates ARBITER bundle-based grounding. CI, confidence interval; 10,000 percentile bootstrap replicates, trials resampled within meta-analysis; seed 20261018.</w:t>
            </w:r>
          </w:p>
        </w:tc>
      </w:tr>
    </w:tbl>
    <w:p>
      <w:pPr>
        <w:pStyle w:val="Titre2"/>
      </w:pPr>
      <w:r>
        <w:t xml:space="preserve">eTable 24.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3600"/>
        <w:gridCol w:w="424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 code only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Answer-code-only fields contain Y, PY, PN, N, NI or NA. This describes the exported fields without inferring absent reasoning.</w:t>
            </w:r>
          </w:p>
        </w:tc>
      </w:tr>
    </w:tbl>
    <w:p>
      <w:pPr>
        <w:pStyle w:val="Titre2"/>
      </w:pPr>
      <w:r>
        <w:t xml:space="preserve">eTable 25. Exploratory signalling-answer agreement</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(0.78–1.00)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(0.86–1.00)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(0.72–1.00)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(0.79–1.00)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(0.36–0.71)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(0.74–0.95)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(0.84–1.00)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(0.84–1.00)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(0.88–1.00)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(0.53–0.81)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(0.65–0.89)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(0.66–0.89)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(0.69–0.91)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(0.51–0.78)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(0.66–0.89)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(0.76–0.97)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(0.85–1.00)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(0.80–1.00)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(0.85–1.00)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(0.76–0.97)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(0.85–1.00)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(0.34–0.66)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(0.61–0.88)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(0.50–0.93)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(0.74–0.90)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(0.61–0.85)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(0.34–0.58)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(0.80–0.96)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(0.05–0.22)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(0.64–0.86)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(0.86–1.00)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(0.78–1.00)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(0.58–0.94)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(0.47–0.86)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(0.24–0.61)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(0.78–1.00)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(0.74–0.95)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(0.84–1.00)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(0.81–0.98)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(0.84–1.00)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(0.54–0.81)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(0.54–0.80)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(0.88–1.00)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(0.81–0.98)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(0.45–0.71)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(0.51–0.78)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(0.30–0.56)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(0.52–0.78)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(0.45–0.77)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(0.53–0.83)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(0.43–0.75)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(0.47–0.78)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(0.29–0.62)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(0.36–0.68)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(0.21–0.52)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(0.19–0.53)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(0.31–0.75)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(0.31–0.75)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(0.11–0.56)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(0.25–0.69)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(0.30–0.55)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(0.23–0.49)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(0.22–0.45)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(0.57–0.83)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(0.00–0.14)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(0.59–0.83)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(0.78–1.00)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(0.71–1.00)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(0.59–0.94)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(0.65–0.95)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(0.37–0.71)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(0.65–0.95)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(0.68–0.91)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(0.84–1.00)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(0.77–0.97)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(0.80–0.98)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(0.38–0.67)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(0.47–0.76)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(0.92–1.00)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(0.62–0.87)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(0.55–0.80)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(0.46–0.74)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(0.55–0.80)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(0.62–0.91)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(0.71–0.96)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(0.71–0.96)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(0.76–0.97)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(0.67–0.93)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(0.76–0.97)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(0.42–0.75)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(0.45–0.77)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(0.59–1.00)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(0.43–0.88)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(0.43–0.88)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(0.58–0.82)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(0.57–0.83)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(0.45–0.72)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(0.48–0.74)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(0.41–0.68)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(0.31–0.55)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(0.72–1.00)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(0.66–0.95)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(0.71–1.00)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(0.60–0.94)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(0.10–0.45)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(0.50–0.86)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(0.61–0.84)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(0.66–0.89)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(0.59–0.85)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(0.56–0.83)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(0.49–0.76)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(0.49–0.75)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(0.46–0.73)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(0.49–0.76)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(0.19–0.47)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(0.19–0.47)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(0.20–0.47)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(0.22–0.50)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(0.04–0.29)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(0.14–0.48)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(0.49–0.81)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(0.57–0.86)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(0.35–0.65)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(0.35–0.65)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(0.41–0.72)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(0.40–0.72)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(0.32–0.65)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(0.28–0.62)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(0.80–1.00)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(0.80–1.00)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(0.23–0.73)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(0.23–0.73)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(0.67–1.00)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(0.50–0.93)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(0.50–0.93)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(0.00–0.50)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(0.20–0.75)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(0.10–0.32)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(0.28–0.53)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(0.08–0.29)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(0.19–0.44)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(0.07–0.29)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(0.36–0.62)</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answers define eligible questions on disputed domains. Collapse is Y/PY, N/PN, NI/NA; missing model answers are wrong. Includes Haiku; no Haiku preferred-judgement endpoint is calculated. CI, confidence interval; 10,000 percentile bootstrap replicates, trials resampled within meta-analysis; seed 20261018.</w:t>
            </w:r>
          </w:p>
        </w:tc>
      </w:tr>
    </w:tbl>
    <w:p>
      <w:pPr>
        <w:pStyle w:val="Titre2"/>
      </w:pPr>
      <w:r>
        <w:t xml:space="preserve">eTable 26.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losses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consensus preferred; sensitivity at least one. Published losses cannot be localised. Haiku was not adjudicated.</w:t>
            </w:r>
          </w:p>
        </w:tc>
      </w:tr>
    </w:tbl>
    <w:p>
      <w:pPr>
        <w:pStyle w:val="Titre2"/>
      </w:pPr>
      <w:r>
        <w:t xml:space="preserve">eTable 27. Error-localisation class counts,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First applicable class is assigned; classes sum to eligible losses. No-discordance can include adjudicator disagreements, which are separately flagged.</w:t>
            </w:r>
          </w:p>
        </w:tc>
      </w:tr>
    </w:tbl>
    <w:p>
      <w:pPr>
        <w:pStyle w:val="Titre2"/>
      </w:pPr>
      <w:r>
        <w:t xml:space="preserve">eTable 28. Decisive-question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1944"/>
        <w:gridCol w:w="576"/>
        <w:gridCol w:w="792"/>
        <w:gridCol w:w="4824"/>
        <w:gridCol w:w="57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short text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22 questions are retained, including zeros. A cell can contribute multiple individual questions; jointly decisive sets contribute none. Short texts abbreviate the official 2019 questions, D2 effect of assignment.</w:t>
            </w:r>
          </w:p>
        </w:tc>
      </w:tr>
    </w:tbl>
    <w:p>
      <w:pPr>
        <w:pStyle w:val="Titre2"/>
      </w:pPr>
      <w:r>
        <w:t xml:space="preserve">eTable 29.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qualified answers are preserved. No time point was selected. This cell is outside both localisation populations because neither independent judgement equals consensus preferred.</w:t>
            </w:r>
          </w:p>
        </w:tc>
      </w:tr>
    </w:tbl>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b3e9d103bd562e6e8ce75d0f240c1b1fd52bdd6d.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2026-10-18T17:50:15Z</dcterms:modified>
  <cp:category/>
</cp:coreProperties>
</file>