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Benchmark set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68"/>
        <w:gridCol w:w="1656"/>
        <w:gridCol w:w="3168"/>
        <w:gridCol w:w="648"/>
        <w:gridCol w:w="1728"/>
        <w:gridCol w:w="1296"/>
      </w:tblGrid>
      <w:tr>
        <w:trPr>
          <w:cantSplit/>
          <w:trHeight w:val="496" w:hRule="auto"/>
          <w:tblHeader/>
        </w:trPr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Specialty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Journal; year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Topic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Trials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 / Some concerns / High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given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Cardiology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Journal of the American College of Cardiology; 2025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Early aortic valve replacement vs surveillance in asymptomatic severe aortic stenosis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/ 0 / 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Endocrinology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Lancet Diabetes &amp; Endocrinology;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GLP-1 receptor agonists and kidney and cardiovascular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/ 0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Gastroenterology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Gastroenterology;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GLP-1 receptor agonists and gastrointestinal adverse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/ 4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General 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JAMA;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SGLT2 inhibitors and kidney outcomes across eGFR and albuminuria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/ 0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General 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Lancet;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Clopidogrel vs aspirin for secondary prevention of coronary artery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/ 3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Infectious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Clinical Infectious Diseases;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Safety of high-dose rifampin in tuberculosis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/ 0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Nephrology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Clinical Journal of the American Society of Nephrology;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Therapies for proteinuria and eGFR decline in IgA nephropathy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/ 5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Lancet Neurology;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Pharmacotherapy and non-invasive neuromodulation for neuropathic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/ 7 /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Obstetrics and gynaecology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Human Reproduction Update;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Preconception lifestyle interventions for 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/ 10 /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Oncology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Lancet Oncology;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CDK4/6 inhibitors plus endocrine therapy in HR-positive, HER2-negative advanced breast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/ 0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Orthopaedics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American Journal of Sports Medicine;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Lateral extra-articular procedure added to primary ACL reconstruction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/ 3 /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Paediatrics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JAMA Pediatrics;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Active treatment vs expectant management of patent ductus arteriosus in preterm infants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/ 6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Psychiatry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Lancet Psychiatry; 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Cannabinoids for mental and substance use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/ 6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Pulmonary and critical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Lancet Respiratory Medicine;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Preoxygenation strategies for intubation in critically ill 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/ 0 /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Rheumatology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Lancet Rheumatology;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Long-term effectiveness of non-surgical interventions for chronic low back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/ 23 /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Surgery and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British Journal of Anaesthesia;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Home-based prehabilitation before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/ 2 /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cantSplit/>
          <w:trHeight w:val="49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 / 69 / 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/ 102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RoB 2, risk of bias tool for randomised trials. Counts are published labels pooled across D1–D5. Overall given indicates whether published Overall labels are available; total is labelled trials/all trials. The analysis excludes three unsupported-design trials from all arms. Metadata are curated from the source meta-analyses.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2026-10-18T17:49:32Z</dcterms:modified>
  <cp:category/>
</cp:coreProperties>
</file>