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Agreement (95% CI)</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1512"/>
        <w:gridCol w:w="1512"/>
        <w:gridCol w:w="1512"/>
        <w:gridCol w:w="1512"/>
        <w:gridCol w:w="151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 / population / 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 Published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(0.72–0.79)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(0.57–0.75)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(0.78–0.85)</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(0.49–0.67)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(0.84–1.00)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(0.44–0.67)</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(0.74–0.81)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(0.40–0.60)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(0.82–0.89)</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(0.51–0.68)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(0.50–0.78)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(0.66–0.87)</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(0.81–0.86)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 (1.00–1.00)</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(0.44–0.59)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 Composite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(0.96–0.99)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3. Paired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 −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(−0.05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(0.07–0.24)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(−0.08 to −0.01)</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 −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(−0.11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(0.16–0.40)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(−0.33 to −0.10)</w:t>
            </w:r>
          </w:p>
        </w:tc>
      </w:tr>
      <w:tr>
        <w:trPr>
          <w:cantSplit/>
          <w:trHeight w:val="922"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 − 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(0.07–0.12)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proportions. Not Low means Some concerns or High. All-Low rule has no variance; only accuracy and specificity are reported. Paired differences are on the original coefficient or proportion scale;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composite accuracy is not an abstract accuracy claim.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2026-10-18T17:49:33Z</dcterms:modified>
  <cp:category/>
</cp:coreProperties>
</file>