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RoB 2 rule consistency and audit (95% CI)</w:t>
      </w:r>
    </w:p>
    <w:tbl xmlns:a="http://schemas.openxmlformats.org/drawingml/2006/main" xmlns:pic="http://schemas.openxmlformats.org/drawingml/2006/picture">
      <w:tblPr>
        <w:tblLayout w:type="fixed"/>
        <w:jc w:val="center"/>
        <w:tblLook w:firstRow="1" w:lastRow="0" w:firstColumn="0" w:lastColumn="0" w:noHBand="0" w:noVBand="1"/>
      </w:tblPr>
      <w:tblGrid>
        <w:gridCol w:w="3888"/>
        <w:gridCol w:w="2988"/>
        <w:gridCol w:w="29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Consistent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 (1.00–1.00)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 (0.84–0.90)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(0.03–0.07)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Invalid answer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(0.06–0.10)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(0.10–0.16)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 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 (0.00–0.03)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 (0.00–0.00)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Evidence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Text-span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Visual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Structural evidence binding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 (1.00–1.00)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Bundle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 (1.00–1.00)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(95% CI, bounds as proportions). Domain consistency for ARBITER refers to proposals; recorded overrides are separate. Departure = violation + invalid path. One Unassisted domain has no evaluable label/answer set and is excluded (509 evaluable). Overall consistency is exact worst-domain agreement; permitted escalations are separate.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2026-10-18T17:49:34Z</dcterms:modified>
  <cp:category/>
</cp:coreProperties>
</file>