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Reliability of the reference standard (95% CI)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888"/>
        <w:gridCol w:w="1992"/>
        <w:gridCol w:w="1992"/>
        <w:gridCol w:w="1992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AC2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Raw agreement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vs Adjudicator 2 independent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(0.48–0.68)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(0.61–0.77)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114/154 (74.0%) (0.68–0.80)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vs Adjudicator 2 preferred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(0.57–0.79)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(0.77–0.89)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129/154 (83.8%) (0.79–0.89)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published 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(−0.17 to 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−0.06 (−0.18 to 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34/154 (22.1%) (0.16–0.28)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 (0.41–0.62)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(0.57–0.74)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107/154 (69.5%) (0.63–0.76)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1 independent vs 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 (0.13–0.30)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(0.18–0.38)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69/154 (44.8%) (0.38–0.52)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published 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−0.08 (−0.18 to 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 (0.04–0.24)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42/154 (27.3%) (0.20–0.34)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 (0.56–0.76)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(0.73–0.85)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120/154 (77.9%) (0.72–0.84)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Adjudicator 2 independent vs Unassisted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 (0.19–0.42)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(0.37–0.53)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76/154 (49.4%) (0.42–0.56)</w:t>
            </w:r>
          </w:p>
        </w:tc>
      </w:tr>
      <w:tr>
        <w:trPr>
          <w:cantSplit/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comparisons use the 154 disputed cells, selected because at least one Sonnet arm differed from Published. These comparisons cannot estimate agreement or published-label accuracy in the full benchmark. Independent judgements preceded blinded label presentation; preferred judgements selected among the three offered labels. Linearly weighted Cohen’s κ; Gwet’s AC2; raw agreement as n/N (%) with CI bounds on the proportion scale.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2026-10-18T17:49:34Z</dcterms:modified>
  <cp:category/>
</cp:coreProperties>
</file>