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bookmarkStart w:id="1" w:name="loc_0"/>
      <w:pPr>
        <w:pStyle w:val="Titre1"/>
      </w:pPr>
      <w:r>
        <w:t>Table 3. Process checks and computational resources</w:t>
      </w:r>
      <w:bookmarkEnd w:id="1"/>
    </w:p>
    <w:tbl>
      <w:tblPr>
        <w:tblCellMar>
          <w:top w:w="0" w:type="dxa"/>
          <w:bottom w:w="0" w:type="dxa"/>
          <w:start w:w="60" w:type="dxa"/>
          <w:end w:w="60" w:type="dxa"/>
        </w:tblCellMar>
        <w:tblLook w:firstRow="0" w:lastRow="0" w:firstColumn="0" w:lastColumn="0" w:noHBand="0" w:noVBand="0"/>
        <w:jc w:val="center"/>
        <w:tblW w:type="dxa" w:w="9864"/>
        <w:tblLayout w:type="fixed"/>
      </w:tblPr>
      <w:tblGrid>
        <w:gridCol w:w="3794"/>
        <w:gridCol w:w="1518"/>
        <w:gridCol w:w="2181"/>
        <w:gridCol w:w="2371"/>
      </w:tblGrid>
      <w:tr>
        <w:trPr>
          <w:cantSplit/>
          <w:tblHeader/>
        </w:trPr>
        <w:tc>
          <w:tcPr>
            <w:tcW w:type="dxa" w:w="3794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single" w:sz="6" w:color="666666"/>
              <w:bottom w:val="single" w:sz="6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  <w:b/>
              </w:rPr>
              <w:t xml:space="default">Measure</w:t>
            </w:r>
          </w:p>
        </w:tc>
        <w:tc>
          <w:tcPr>
            <w:tcW w:type="dxa" w:w="1518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single" w:sz="6" w:color="666666"/>
              <w:bottom w:val="single" w:sz="6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end"/>
            </w:pPr>
            <w:r>
              <w:rPr>
                <w:rFonts w:ascii="Arial" w:hAnsi="Arial"/>
                <w:sz w:val="20"/>
                <w:b/>
              </w:rPr>
              <w:t xml:space="default">ARBITER</w:t>
            </w:r>
          </w:p>
        </w:tc>
        <w:tc>
          <w:tcPr>
            <w:tcW w:type="dxa" w:w="2181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single" w:sz="6" w:color="666666"/>
              <w:bottom w:val="single" w:sz="6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end"/>
            </w:pPr>
            <w:r>
              <w:rPr>
                <w:rFonts w:ascii="Arial" w:hAnsi="Arial"/>
                <w:sz w:val="20"/>
                <w:b/>
              </w:rPr>
              <w:t xml:space="default">Unassisted</w:t>
            </w:r>
          </w:p>
        </w:tc>
        <w:tc>
          <w:tcPr>
            <w:tcW w:type="dxa" w:w="2371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single" w:sz="6" w:color="666666"/>
              <w:bottom w:val="single" w:sz="6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end"/>
            </w:pPr>
            <w:r>
              <w:rPr>
                <w:rFonts w:ascii="Arial" w:hAnsi="Arial"/>
                <w:sz w:val="20"/>
                <w:b/>
              </w:rPr>
              <w:t xml:space="default">Paired mean difference (95% CI)</w:t>
            </w:r>
          </w:p>
        </w:tc>
      </w:tr>
      <w:tr>
        <w:trPr>
          <w:cantSplit/>
        </w:trPr>
        <w:tc>
          <w:tcPr>
            <w:gridSpan w:val="4"/>
            <w:tcW w:type="dxa" w:w="9864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single" w:sz="6" w:color="666666"/>
              <w:bottom w:val="nil" w:sz="0" w:color="666666"/>
              <w:start w:val="nil" w:sz="0" w:color="666666"/>
              <w:end w:val="nil" w:sz="0" w:color="666666"/>
            </w:tcBorders>
            <w:shd w:fill="F4F4F4"/>
          </w:tcPr>
          <w:p>
            <w:pPr>
              <w:spacing w:before="0" w:after="60"/>
            </w:pPr>
            <w:r>
              <w:rPr>
                <w:rFonts w:ascii="Arial" w:hAnsi="Arial"/>
                <w:sz w:val="20"/>
                <w:b/>
              </w:rPr>
              <w:t xml:space="default">A. Rule conformance</w:t>
            </w:r>
          </w:p>
        </w:tc>
      </w:tr>
      <w:tr>
        <w:trPr>
          <w:cantSplit/>
        </w:trPr>
        <w:tc>
          <w:tcPr>
            <w:tcW w:type="dxa" w:w="3794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Domain outputs reproduced from proposals</w:t>
            </w:r>
          </w:p>
        </w:tc>
        <w:tc>
          <w:tcPr>
            <w:tcW w:type="dxa" w:w="1518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end"/>
            </w:pPr>
            <w:r>
              <w:rPr>
                <w:rFonts w:ascii="Arial" w:hAnsi="Arial"/>
                <w:sz w:val="20"/>
              </w:rPr>
              <w:t xml:space="default">510/510 (100.0%)</w:t>
            </w:r>
          </w:p>
        </w:tc>
        <w:tc>
          <w:tcPr>
            <w:tcW w:type="dxa" w:w="2181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end"/>
            </w:pPr>
            <w:r>
              <w:rPr>
                <w:rFonts w:ascii="Arial" w:hAnsi="Arial"/>
                <w:sz w:val="20"/>
              </w:rPr>
              <w:t xml:space="default">Not available</w:t>
            </w:r>
          </w:p>
        </w:tc>
        <w:tc>
          <w:tcPr>
            <w:tcW w:type="dxa" w:w="2371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end"/>
            </w:pPr>
            <w:r>
              <w:rPr>
                <w:rFonts w:ascii="Arial" w:hAnsi="Arial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W w:type="dxa" w:w="3794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Rating contradicts its own answers</w:t>
            </w:r>
          </w:p>
        </w:tc>
        <w:tc>
          <w:tcPr>
            <w:tcW w:type="dxa" w:w="1518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end"/>
            </w:pPr>
            <w:r>
              <w:rPr>
                <w:rFonts w:ascii="Arial" w:hAnsi="Arial"/>
                <w:sz w:val="20"/>
              </w:rPr>
              <w:t xml:space="default">0 by design</w:t>
            </w:r>
          </w:p>
        </w:tc>
        <w:tc>
          <w:tcPr>
            <w:tcW w:type="dxa" w:w="2181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end"/>
            </w:pPr>
            <w:r>
              <w:rPr>
                <w:rFonts w:ascii="Arial" w:hAnsi="Arial"/>
                <w:sz w:val="20"/>
              </w:rPr>
              <w:t xml:space="default">26/509 (5.1%; 3.3–6.9)</w:t>
            </w:r>
          </w:p>
        </w:tc>
        <w:tc>
          <w:tcPr>
            <w:tcW w:type="dxa" w:w="2371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end"/>
            </w:pPr>
            <w:r>
              <w:rPr>
                <w:rFonts w:ascii="Arial" w:hAnsi="Arial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W w:type="dxa" w:w="3794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Required question skipped</w:t>
            </w:r>
          </w:p>
        </w:tc>
        <w:tc>
          <w:tcPr>
            <w:tcW w:type="dxa" w:w="1518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end"/>
            </w:pPr>
            <w:r>
              <w:rPr>
                <w:rFonts w:ascii="Arial" w:hAnsi="Arial"/>
                <w:sz w:val="20"/>
              </w:rPr>
              <w:t xml:space="default">0 by design</w:t>
            </w:r>
          </w:p>
        </w:tc>
        <w:tc>
          <w:tcPr>
            <w:tcW w:type="dxa" w:w="2181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end"/>
            </w:pPr>
            <w:r>
              <w:rPr>
                <w:rFonts w:ascii="Arial" w:hAnsi="Arial"/>
                <w:sz w:val="20"/>
              </w:rPr>
              <w:t xml:space="default">39/509 (7.7%; 5.7–10.0)</w:t>
            </w:r>
          </w:p>
        </w:tc>
        <w:tc>
          <w:tcPr>
            <w:tcW w:type="dxa" w:w="2371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end"/>
            </w:pPr>
            <w:r>
              <w:rPr>
                <w:rFonts w:ascii="Arial" w:hAnsi="Arial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W w:type="dxa" w:w="3794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Any rule break</w:t>
            </w:r>
          </w:p>
        </w:tc>
        <w:tc>
          <w:tcPr>
            <w:tcW w:type="dxa" w:w="1518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end"/>
            </w:pPr>
            <w:r>
              <w:rPr>
                <w:rFonts w:ascii="Arial" w:hAnsi="Arial"/>
                <w:sz w:val="20"/>
              </w:rPr>
              <w:t xml:space="default">0 by design</w:t>
            </w:r>
          </w:p>
        </w:tc>
        <w:tc>
          <w:tcPr>
            <w:tcW w:type="dxa" w:w="2181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end"/>
            </w:pPr>
            <w:r>
              <w:rPr>
                <w:rFonts w:ascii="Arial" w:hAnsi="Arial"/>
                <w:sz w:val="20"/>
              </w:rPr>
              <w:t xml:space="default">65/509 (12.8%; 10.0–15.6)</w:t>
            </w:r>
          </w:p>
        </w:tc>
        <w:tc>
          <w:tcPr>
            <w:tcW w:type="dxa" w:w="2371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end"/>
            </w:pPr>
            <w:r>
              <w:rPr>
                <w:rFonts w:ascii="Arial" w:hAnsi="Arial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gridSpan w:val="4"/>
            <w:tcW w:type="dxa" w:w="9864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single" w:sz="6" w:color="666666"/>
              <w:bottom w:val="nil" w:sz="0" w:color="666666"/>
              <w:start w:val="nil" w:sz="0" w:color="666666"/>
              <w:end w:val="nil" w:sz="0" w:color="666666"/>
            </w:tcBorders>
            <w:shd w:fill="F4F4F4"/>
          </w:tcPr>
          <w:p>
            <w:pPr>
              <w:spacing w:before="0" w:after="60"/>
            </w:pPr>
            <w:r>
              <w:rPr>
                <w:rFonts w:ascii="Arial" w:hAnsi="Arial"/>
                <w:sz w:val="20"/>
                <w:b/>
              </w:rPr>
              <w:t xml:space="default">B. Computational resources</w:t>
            </w:r>
          </w:p>
        </w:tc>
      </w:tr>
      <w:tr>
        <w:trPr>
          <w:cantSplit/>
        </w:trPr>
        <w:tc>
          <w:tcPr>
            <w:tcW w:type="dxa" w:w="3794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Runtime (minutes/trial), median (IQR)</w:t>
            </w:r>
          </w:p>
        </w:tc>
        <w:tc>
          <w:tcPr>
            <w:tcW w:type="dxa" w:w="1518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end"/>
            </w:pPr>
            <w:r>
              <w:rPr>
                <w:rFonts w:ascii="Arial" w:hAnsi="Arial"/>
                <w:sz w:val="20"/>
              </w:rPr>
              <w:t xml:space="default">7.6 (6.1–10.5)</w:t>
            </w:r>
          </w:p>
        </w:tc>
        <w:tc>
          <w:tcPr>
            <w:tcW w:type="dxa" w:w="2181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end"/>
            </w:pPr>
            <w:r>
              <w:rPr>
                <w:rFonts w:ascii="Arial" w:hAnsi="Arial"/>
                <w:sz w:val="20"/>
              </w:rPr>
              <w:t xml:space="default">0.5 (0.4–0.5)</w:t>
            </w:r>
          </w:p>
        </w:tc>
        <w:tc>
          <w:tcPr>
            <w:tcW w:type="dxa" w:w="2371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end"/>
            </w:pPr>
            <w:r>
              <w:rPr>
                <w:rFonts w:ascii="Arial" w:hAnsi="Arial"/>
                <w:sz w:val="20"/>
              </w:rPr>
              <w:t xml:space="default">11.0 (8.4–14.1)</w:t>
            </w:r>
          </w:p>
        </w:tc>
      </w:tr>
      <w:tr>
        <w:trPr>
          <w:cantSplit/>
        </w:trPr>
        <w:tc>
          <w:tcPr>
            <w:tcW w:type="dxa" w:w="3794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API list-price equivalent (US$/trial), median (IQR)</w:t>
            </w:r>
          </w:p>
        </w:tc>
        <w:tc>
          <w:tcPr>
            <w:tcW w:type="dxa" w:w="1518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end"/>
            </w:pPr>
            <w:r>
              <w:rPr>
                <w:rFonts w:ascii="Arial" w:hAnsi="Arial"/>
                <w:sz w:val="20"/>
              </w:rPr>
              <w:t xml:space="default">3.78 (3.46–4.10)</w:t>
            </w:r>
          </w:p>
        </w:tc>
        <w:tc>
          <w:tcPr>
            <w:tcW w:type="dxa" w:w="2181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end"/>
            </w:pPr>
            <w:r>
              <w:rPr>
                <w:rFonts w:ascii="Arial" w:hAnsi="Arial"/>
                <w:sz w:val="20"/>
              </w:rPr>
              <w:t xml:space="default">0.09 (0.07–0.13)</w:t>
            </w:r>
          </w:p>
        </w:tc>
        <w:tc>
          <w:tcPr>
            <w:tcW w:type="dxa" w:w="2371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end"/>
            </w:pPr>
            <w:r>
              <w:rPr>
                <w:rFonts w:ascii="Arial" w:hAnsi="Arial"/>
                <w:sz w:val="20"/>
              </w:rPr>
              <w:t xml:space="default">3.68 (3.61–3.75)</w:t>
            </w:r>
          </w:p>
        </w:tc>
      </w:tr>
      <w:tr>
        <w:trPr>
          <w:cantSplit/>
        </w:trPr>
        <w:tc>
          <w:tcPr>
            <w:gridSpan w:val="4"/>
            <w:tcW w:type="dxa" w:w="9864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</w:pPr>
            <w:r>
              <w:rPr>
                <w:rFonts w:ascii="Arial" w:hAnsi="Arial"/>
                <w:sz w:val="20"/>
              </w:rPr>
              <w:t xml:space="default">Unassisted rule-break cells show No./total (%; 95% CI); CI bounds are percentages. Domain rules use evaluable ratings (ARBITER 510; Unassisted 509); one Unassisted cell is unevaluable. ARBITER has no recorded domain overrides; one Overall escalation is permitted. Runtime and API list-price equivalents use 102 paired trials; source summaries are median (IQR), contrasts are paired mean differences. Cost is a frozen-rate equivalent, not expenditure. — means not applicable; Not available means not measured. CI, 95% confidence interval; 10,000 percentile bootstrap replicates, trials resampled within meta-analysis; seed 20261018.</w:t>
            </w:r>
          </w:p>
        </w:tc>
      </w:tr>
    </w:tbl>
    <w:sectPr>
      <w:pgMar w:header="708" w:bottom="864" w:top="864" w:right="936" w:left="936" w:footer="708" w:gutter="0"/>
      <w:pgSz w:h="16834" w:w="11909" w:orient="portrait"/>
      <w:footerReference w:type="default" r:id="rId7"/>
      <w:type w:val="continuous"/>
      <w:cols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sz w:val="18"/>
      </w:rPr>
      <w:t xml:space="preserve">Page </w:t>
    </w:r>
    <w:fldSimple w:instr="PAGE"/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xmlns:w="http://schemas.openxmlformats.org/wordprocessingml/2006/main" w:type="paragraph" w:customStyle="1" w:styleId="Titre1">
    <w:name w:val="heading 1"/>
    <w:basedOn w:val="Normal"/>
    <w:pPr>
      <w:jc w:val="left"/>
      <w:keepNext/>
      <w:pBdr>
        <w:bottom w:val="none" w:sz="0" w:space="0" w:color="000000"/>
        <w:top w:val="none" w:sz="0" w:space="0" w:color="000000"/>
        <w:left w:val="none" w:sz="0" w:space="0" w:color="000000"/>
        <w:right w:val="none" w:sz="0" w:space="0" w:color="000000"/>
      </w:pBdr>
      <w:spacing w:after="120" w:before="160" w:line="240"/>
      <w:ind w:left="0" w:right="0" w:firstLine="0" w:firstLineChars="0"/>
    </w:pPr>
    <w:rPr>
      <w:rFonts w:ascii="Arial" w:hAnsi="Arial" w:eastAsia="Arial" w:cs="Arial"/>
      <w:i w:val="false"/>
      <w:b w:val="true"/>
      <w:u w:val="none"/>
      <w:strike w:val="false"/>
      <w:sz w:val="24"/>
      <w:szCs w:val="24"/>
      <w:color w:val="000000"/>
    </w:rPr>
  </w:style>
  <w:style xmlns:w="http://schemas.openxmlformats.org/wordprocessingml/2006/main" w:type="paragraph" w:customStyle="1" w:styleId="Titre2">
    <w:name w:val="heading 2"/>
    <w:basedOn w:val="Normal"/>
    <w:pPr>
      <w:jc w:val="left"/>
      <w:keepNext/>
      <w:pBdr>
        <w:bottom w:val="none" w:sz="0" w:space="0" w:color="000000"/>
        <w:top w:val="none" w:sz="0" w:space="0" w:color="000000"/>
        <w:left w:val="none" w:sz="0" w:space="0" w:color="000000"/>
        <w:right w:val="none" w:sz="0" w:space="0" w:color="000000"/>
      </w:pBdr>
      <w:spacing w:after="80" w:before="120" w:line="240"/>
      <w:ind w:left="0" w:right="0" w:firstLine="0" w:firstLineChars="0"/>
    </w:pPr>
    <w:rPr>
      <w:rFonts w:ascii="Arial" w:hAnsi="Arial" w:eastAsia="Arial" w:cs="Arial"/>
      <w:i w:val="false"/>
      <w:b w:val="true"/>
      <w:u w:val="none"/>
      <w:strike w:val="false"/>
      <w:sz w:val="20"/>
      <w:szCs w:val="20"/>
      <w:color w:val="000000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  <w:style xmlns:w="http://schemas.openxmlformats.org/wordprocessingml/2006/main" w:type="paragraph" w:customStyle="1" w:styleId="ManuscriptBody">
    <w:name w:val="Manuscript body"/>
    <w:basedOn w:val="Normal"/>
    <w:pPr>
      <w:jc w:val="left"/>
      <w:pBdr>
        <w:bottom w:val="none" w:sz="0" w:space="0" w:color="000000"/>
        <w:top w:val="none" w:sz="0" w:space="0" w:color="000000"/>
        <w:left w:val="none" w:sz="0" w:space="0" w:color="000000"/>
        <w:right w:val="none" w:sz="0" w:space="0" w:color="000000"/>
      </w:pBdr>
      <w:spacing w:after="100" w:before="0" w:line="312"/>
      <w:ind w:left="0" w:right="0" w:firstLine="0" w:firstLineChars="0"/>
    </w:pPr>
    <w:rPr>
      <w:rFonts w:ascii="Arial" w:hAnsi="Arial" w:eastAsia="Arial" w:cs="Arial"/>
      <w:i w:val="false"/>
      <w:b w:val="false"/>
      <w:u w:val="none"/>
      <w:strike w:val="false"/>
      <w:sz w:val="20"/>
      <w:szCs w:val="20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2026-10-26T19:25:19Z</dcterms:modified>
  <cp:category/>
</cp:coreProperties>
</file>