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26e74a24f867deabfa9c1d5ee51de4ca1fc52bd"/>
    <w:p>
      <w:pPr>
        <w:pStyle w:val="Title"/>
      </w:pPr>
      <w:r>
        <w:rPr>
          <w:b/>
          <w:sz w:val="28"/>
        </w:rPr>
        <w:t xml:space="preserve">ARBITER: an auditable workflow for AI-assisted risk-of-bias assessment</w:t>
      </w:r>
    </w:p>
    <w:bookmarkStart w:id="9" w:name="front-matter-notes"/>
    <w:p>
      <w:pPr>
        <w:pStyle w:val="FirstParagraph"/>
      </w:pPr>
      <w:r>
        <w:t xml:space="preserve">Article type: Research and Applications. Main displays comprise five figures and three tables.</w:t>
      </w:r>
    </w:p>
    <w:p>
      <w:pPr>
        <w:pStyle w:val="BodyText"/>
      </w:pPr>
      <w:r>
        <w:t xml:space="preserve">Author: Ali Salman, MBBS. Affiliations: [Department, institution, city and country]. Correspondence: [Postal address, email and telephone]. [Confirm complete author list and order].</w:t>
      </w:r>
    </w:p>
    <w:p>
      <w:pPr>
        <w:pStyle w:val="BodyText"/>
      </w:pPr>
      <w:r>
        <w:t xml:space="preserve">Keywords: artificial intelligence; risk of bias; evidence synthesis; reproducibility; clinical trials.</w:t>
      </w:r>
    </w:p>
    <w:p>
      <w:r>
        <w:t>Word counts: main text 3425; structured abstract 239.</w:t>
      </w:r>
    </w:p>
    <w:bookmarkEnd w:id="9"/>
    <w:bookmarkStart w:id="15" w:name="abstract"/>
    <w:p>
      <w:bookmarkStart w:id="64" w:name="loc_5"/>
      <w:pPr>
        <w:pStyle w:val="Heading1"/>
        <w:pageBreakBefore/>
        <w:spacing w:line="240" w:lineRule="auto"/>
      </w:pPr>
      <w:r>
        <w:rPr>
          <w:b/>
        </w:rPr>
        <w:t>ABSTRACT</w:t>
      </w:r>
      <w:bookmarkEnd w:id="64"/>
    </w:p>
    <w:bookmarkStart w:id="10" w:name="objective"/>
    <w:p>
      <w:pPr>
        <w:pStyle w:val="FirstParagraph"/>
        <w:spacing w:after="80"/>
      </w:pPr>
      <w:r>
        <w:rPr>
          <w:b/>
        </w:rPr>
        <w:t xml:space="preserve">Objective. </w:t>
      </w:r>
      <w:r>
        <w:t xml:space="preserve">To present an inspectable workflow for the Cochrane risk-of-bias tool for randomised trials (RoB 2) and evaluate its judgments against independent experts.</w:t>
      </w:r>
    </w:p>
    <w:bookmarkEnd w:id="10"/>
    <w:bookmarkStart w:id="11" w:name="materials-and-methods"/>
    <w:p>
      <w:pPr>
        <w:pStyle w:val="FirstParagraph"/>
        <w:spacing w:after="80"/>
      </w:pPr>
      <w:r>
        <w:rPr>
          <w:b/>
        </w:rPr>
        <w:t xml:space="preserve">Materials and Methods. </w:t>
      </w:r>
      <w:r>
        <w:t xml:space="preserve">ARBITER retains sources, evidence and signalling answers, then applies RoB 2 decision rules in software. We compared its Sonnet workflow with a same-model minimal-prompt comparator (Unassisted) using identical supplied documents for 102 trials from 16 reviews. Two experts independently rated five domains per trial (510 assessments) before choosing among blinded labels. The primary endpoint was the proportion of agreed expert choices matching ARBITER where workflows disagreed. Agreement with each expert across all 510 assessments was secondary. Paired intervals resampled trials within fixed reviews.</w:t>
      </w:r>
    </w:p>
    <w:bookmarkEnd w:id="11"/>
    <w:bookmarkStart w:id="12" w:name="results"/>
    <w:p>
      <w:pPr>
        <w:pStyle w:val="FirstParagraph"/>
        <w:spacing w:after="80"/>
      </w:pPr>
      <w:r>
        <w:rPr>
          <w:b/>
        </w:rPr>
        <w:t xml:space="preserve">Results. </w:t>
      </w:r>
      <w:r>
        <w:t xml:space="preserve">The chosen label matched ARBITER in 53/60 agreed choices (88%; 95% CI, 80–96%), from 80 workflow disagreements with 20 split choices. Exact agreement was 371/510 (72.7%) versus 332/510 (65.1%) against Expert 1 and 433/510 (84.9%) versus 400/510 (78.4%) against Expert 2. Paired gains were 7.6 percentage points (95% CI, 5.1–10.2) and 6.5 (3.5–9.4). Against published labels, ARBITER minus Unassisted agreement was −1.8 points (−5.1 to 1.6). All 510 ARBITER domain outputs followed executable rules. Structural checks did not assess whether evidence supported the answers. Median runtime was 7.6 versus 0.5 minutes per trial.</w:t>
      </w:r>
    </w:p>
    <w:bookmarkEnd w:id="12"/>
    <w:bookmarkStart w:id="13" w:name="discussion"/>
    <w:p>
      <w:pPr>
        <w:pStyle w:val="FirstParagraph"/>
        <w:spacing w:after="80"/>
      </w:pPr>
      <w:r>
        <w:rPr>
          <w:b/>
        </w:rPr>
        <w:t xml:space="preserve">Discussion. </w:t>
      </w:r>
      <w:r>
        <w:t xml:space="preserve">Agreement varied by domain and reference. Instructions, tools and computation differed between workflows; the comparison does not isolate component effects or measure reviewer benefit.</w:t>
      </w:r>
    </w:p>
    <w:bookmarkEnd w:id="13"/>
    <w:bookmarkStart w:id="14" w:name="conclusion"/>
    <w:p>
      <w:pPr>
        <w:pStyle w:val="FirstParagraph"/>
        <w:spacing w:after="80"/>
      </w:pPr>
      <w:r>
        <w:rPr>
          <w:b/>
        </w:rPr>
        <w:t xml:space="preserve">Conclusion. </w:t>
      </w:r>
      <w:r>
        <w:t xml:space="preserve">ARBITER preserves an inspectable assessment pathway and had greater agreement with both independent experts in this benchmark.</w:t>
      </w:r>
    </w:p>
    <w:bookmarkEnd w:id="14"/>
    <w:bookmarkEnd w:id="15"/>
    <w:bookmarkStart w:id="16" w:name="background-and-significance"/>
    <w:p>
      <w:bookmarkStart w:id="70" w:name="loc_11"/>
      <w:pPr>
        <w:pStyle w:val="Heading1"/>
        <w:pageBreakBefore/>
      </w:pPr>
      <w:r>
        <w:rPr>
          <w:b/>
        </w:rPr>
        <w:t>BACKGROUND AND SIGNIFICANCE</w:t>
      </w:r>
      <w:bookmarkEnd w:id="70"/>
    </w:p>
    <w:p>
      <w:pPr>
        <w:pStyle w:val="FirstParagraph"/>
      </w:pPr>
      <w:r>
        <w:t xml:space="preserve">A risk-of-bias judgment is a conclusion about a particular trial result. To examine that conclusion, a reviewer needs to follow the supporting evidence through the assessment. The Cochrane risk-of-bias tool for randomised trials (RoB 2) makes this pathway explicit through signalling questions and algorithms that translate answers into domain judgments.[1] Interpretation remains necessary at each question. Experienced assessors have reported application difficulties and disagreement; condition-specific implementation instructions and calibration were followed by improved agreement in one review setting.[2,3] Studies using the earlier Cochrane instrument also found different interpretations of the same trial information across reviews.[4] For AI-assisted assessment, the relevant problem is therefore how to preserve a judgment’s basis while evaluating the judgment itself.</w:t>
      </w:r>
    </w:p>
    <w:p>
      <w:pPr>
        <w:pStyle w:val="BodyText"/>
      </w:pPr>
      <w:r>
        <w:t xml:space="preserve">Earlier systems establish that evidence display and structured assessment are practical approaches to this problem. RobotReviewer paired automated judgments with extracted supporting sentences for the earlier instrument.[5] ROBOTO2 extends evidence-linked assessment to an interactive RoB 2 workflow in which reviewers can inspect and change proposed answers and judgments.[6] Structured RoB 2 prompting has also been evaluated against human assessments, including checks of whether domain ratings follow from signalling answers.[7,8] Same-model comparisons of direct and constrained prompts have also been studied with the earlier instrument.[9] These approaches make different parts of an assessment available for examination. Their existence shifts the evaluation question toward the properties and performance of a specified implementation.</w:t>
      </w:r>
    </w:p>
    <w:p>
      <w:pPr>
        <w:pStyle w:val="BodyText"/>
      </w:pPr>
      <w:r>
        <w:t xml:space="preserve">Three properties require separate assessment. A source link establishes where quoted text occurs; it does not establish that the text supports the answer. Applying the decision rules establishes how recorded answers produce a rating; it does not establish that those answers are appropriate. Agreement then depends on the human reference, as studies using published labels and fresh assessments illustrate.[7,8,10] ARBITER preserves the source-to-answer-to-rating pathway and evaluates its complete workflow in a paired, same-model benchmark. The empirical question is whether this complete workflow agrees more often with independent assessors than minimal prompting, and where disagreement remains.</w:t>
      </w:r>
    </w:p>
    <w:bookmarkEnd w:id="16"/>
    <w:bookmarkStart w:id="17" w:name="objective-1"/>
    <w:p>
      <w:bookmarkStart w:id="74" w:name="loc_15"/>
      <w:pPr>
        <w:pStyle w:val="Heading1"/>
      </w:pPr>
      <w:r>
        <w:rPr>
          <w:b/>
        </w:rPr>
        <w:t>OBJECTIVE</w:t>
      </w:r>
      <w:bookmarkEnd w:id="74"/>
    </w:p>
    <w:p>
      <w:pPr>
        <w:pStyle w:val="FirstParagraph"/>
      </w:pPr>
      <w:r>
        <w:t xml:space="preserve">We evaluated what ARBITER makes inspectable and how its complete Sonnet workflow compares with the same model given minimal instructions and identical supplied trial evidence. The formal primary endpoint concerned agreed expert label choices where the workflows differed. Secondary and supporting outcomes assessed independent expert agreement across all domains, consistency with decision rules, source records and computation.</w:t>
      </w:r>
    </w:p>
    <w:bookmarkEnd w:id="17"/>
    <w:bookmarkStart w:id="24" w:name="materials-and-methods-1"/>
    <w:p>
      <w:bookmarkStart w:id="76" w:name="loc_17"/>
      <w:pPr>
        <w:pStyle w:val="Heading1"/>
      </w:pPr>
      <w:r>
        <w:rPr>
          <w:b/>
        </w:rPr>
        <w:t>MATERIALS AND METHODS</w:t>
      </w:r>
      <w:bookmarkEnd w:id="76"/>
    </w:p>
    <w:bookmarkStart w:id="18" w:name="system-design"/>
    <w:p>
      <w:bookmarkStart w:id="77" w:name="loc_18"/>
      <w:pPr>
        <w:pStyle w:val="Heading2"/>
      </w:pPr>
      <w:r>
        <w:rPr>
          <w:b/>
        </w:rPr>
        <w:t>System design</w:t>
      </w:r>
      <w:bookmarkEnd w:id="77"/>
    </w:p>
    <w:p>
      <w:pPr>
        <w:pStyle w:val="FirstParagraph"/>
      </w:pPr>
      <w:r>
        <w:t xml:space="preserve">ARBITER separates interpretation of trial evidence from application of the RoB 2 decision rules (Figure 1). The AI model identifies the result to assess and answers the signalling questions; software applies the official algorithms to those answers. It retains the source documents with digital fingerprints that identify their exact contents, extracts quoted passages and records their locations. In interactive use, a reviewer can approve the proposed result before domain assessment and inspect the answers and cited evidence. In this benchmark, the automated run procedure accepted the proposed result unchanged. The exported HTML report and accompanying audit file preserve the assessment for inspection.</w:t>
      </w:r>
    </w:p>
    <w:p>
      <w:pPr>
        <w:pStyle w:val="BodyText"/>
      </w:pPr>
      <w:r>
        <w:t xml:space="preserve">Every required answer must cite an evidence basis. Software extracts text quotations directly from the stored documents and links image regions to source pages. The model’s descriptions of images are not independently checked against the image content. The software computes a proposed domain rating from the recorded answers; a different adopted rating requires a recorded rationale and evidence. We checked proposed and adopted ratings separately. This record makes the basis of a judgment traceable without establishing that the evidence supports the answer.</w:t>
      </w:r>
    </w:p>
    <w:p>
      <w:pPr>
        <w:pStyle w:val="BodyText"/>
      </w:pPr>
      <w:r>
        <w:t xml:space="preserve">The AVATAR assessment illustrates the pathway for all-cause death after early surgery versus watchful waiting in asymptomatic severe aortic stenosis (Figure 2; complete trace in the supplement). The case illustrates the workflow rather than typical performance. Its stored documents did not establish a dated analysis plan for the assessed result.</w:t>
      </w:r>
    </w:p>
    <w:bookmarkEnd w:id="18"/>
    <w:bookmarkStart w:id="20" w:name="benchmark-and-assessment-arms"/>
    <w:p>
      <w:bookmarkStart w:id="81" w:name="loc_22"/>
      <w:pPr>
        <w:pStyle w:val="Heading2"/>
      </w:pPr>
      <w:r>
        <w:rPr>
          <w:b/>
        </w:rPr>
        <w:t>Benchmark and assessment arms</w:t>
      </w:r>
      <w:bookmarkEnd w:id="81"/>
    </w:p>
    <w:p>
      <w:pPr>
        <w:pStyle w:val="FirstParagraph"/>
      </w:pPr>
      <w:r>
        <w:t xml:space="preserve">The source set contained 105 trials from 16 published meta-analyses. Within each review, selection followed its table order, taking up to seven available eligible trials and replacing unavailable reports with the next eligible trial. Three trials were excluded under the analysis plan, leaving 102 trials. The supplementary benchmark table documents the reviews, specialties and source availability. [Pending: how the reviews were identified and selected, eligibility criteria and confirmation of the excluded design classifications.]</w:t>
      </w:r>
    </w:p>
    <w:p>
      <w:pPr>
        <w:pStyle w:val="BodyText"/>
      </w:pPr>
      <w:r>
        <w:t xml:space="preserve">The assessment task specified a result using the review’s reported outcome and available trial information, including the time point, comparison and numerical result as printed. It did not automatically select the trial’s primary outcome. Correspondence between the specified result and the published risk-of-bias label could be partial, inferred, different or indeterminate; some published labels covered several outcomes. Comparisons with published labels retained all domain cells, with target uncertainty considered qualitatively.</w:t>
      </w:r>
    </w:p>
    <w:p>
      <w:pPr>
        <w:pStyle w:val="BodyText"/>
      </w:pPr>
      <w:r>
        <w:t xml:space="preserve">Both arms received identical underlying trial evidence: articles, supplements, stored copies of registry records, protocols and statistical analysis plans available in the captured input set. Unassisted, the same-model minimal-prompt comparator, received copies of the registry records and acquired documents from the ARBITER run; these were not fetched anew. Availability varied by trial. The supplied De Waal registry record concerned another trial and did not establish information about the assessed result.</w:t>
      </w:r>
    </w:p>
    <w:p>
      <w:pPr>
        <w:pStyle w:val="BodyText"/>
      </w:pPr>
      <w:r>
        <w:t xml:space="preserve">Unassisted received the assessment task sentence and one fixed output-format sentence, without RoB 2 guidance. It could read and search local documents but had no access to ARBITER’s software service, assessment instructions or the web. ARBITER additionally received its assessment instructions and guidance, supplied as an assessment skill. Thus, the arms shared trial evidence but differed in instructions and processing. The comparison evaluated the complete workflow and did not isolate the effects of guidance, software or computation. It also differed from the structured-prompt comparators used in several prior studies.[7,8,11,12]</w:t>
      </w:r>
    </w:p>
    <w:p>
      <w:pPr>
        <w:pStyle w:val="BodyText"/>
      </w:pPr>
      <w:r>
        <w:t xml:space="preserve">Both arms used</w:t>
      </w:r>
      <w:r>
        <w:t xml:space="preserve"> </w:t>
      </w:r>
      <w:r>
        <w:rPr>
          <w:rStyle w:val="VerbatimChar"/>
        </w:rPr>
        <w:t xml:space="preserve">claude-sonnet-5-5</w:t>
      </w:r>
      <w:r>
        <w:t xml:space="preserve">, medium effort, in Claude Code 2.1.278, with isolated settings and external connectors and memory disabled. ARBITER ran on 12 October 2026 and Unassisted on 14 October 2026, once per trial per arm. eMethods identifies the evaluated software revision. The installable public release is ARBITER 1.0.0, commit</w:t>
      </w:r>
      <w:r>
        <w:t xml:space="preserve"> </w:t>
      </w:r>
      <w:hyperlink r:id="rId19">
        <w:r>
          <w:rPr>
            <w:rStyle w:val="Hyperlink"/>
          </w:rPr>
          <w:t xml:space="preserve">2f549ae</w:t>
        </w:r>
      </w:hyperlink>
      <w:r>
        <w:t xml:space="preserve">. The retained release audit documents the assessment-command correspondence without establishing equivalence of the complete releases. The protocol allowed</w:t>
      </w:r>
      <w:r>
        <w:t xml:space="preserve"> </w:t>
      </w:r>
      <w:r>
        <w:t xml:space="preserve">“Continue.”</w:t>
      </w:r>
      <w:r>
        <w:t xml:space="preserve"> </w:t>
      </w:r>
      <w:r>
        <w:t xml:space="preserve">at most twice per phase without coaching. eMethods reproduces both prompt templates, the command invoking the ARBITER assessment skill, the Unassisted format instruction and a filled example. [Pending: development and selection of the prompts and assessment skill, data used in development, any overlap with the benchmark and documentation fixing the evaluated versions.]</w:t>
      </w:r>
    </w:p>
    <w:bookmarkEnd w:id="20"/>
    <w:bookmarkStart w:id="21" w:name="independent-expert-references"/>
    <w:p>
      <w:bookmarkStart w:id="87" w:name="loc_28"/>
      <w:pPr>
        <w:pStyle w:val="Heading2"/>
      </w:pPr>
      <w:r>
        <w:rPr>
          <w:b/>
        </w:rPr>
        <w:t>Independent expert references</w:t>
      </w:r>
      <w:bookmarkEnd w:id="87"/>
    </w:p>
    <w:p>
      <w:pPr>
        <w:pStyle w:val="FirstParagraph"/>
      </w:pPr>
      <w:r>
        <w:t xml:space="preserve">Two blinded experts assessed all 102 trials across the five domains. Each trial–domain pair constituted a cell. Each expert independently recorded signalling answers and a domain rating, then froze both before seeing any offered label. No AI was used for these judgments. Experts could consult sources beyond the arms’ inputs. [Pending: expert qualifications, experience and training; assessment instructions and guidance supplied; whether experts received the same specified targets as the arms; and conventions for assessing targets containing several outcomes.]</w:t>
      </w:r>
    </w:p>
    <w:p>
      <w:pPr>
        <w:pStyle w:val="BodyText"/>
      </w:pPr>
      <w:r>
        <w:t xml:space="preserve">Each expert then saw the published, Unassisted and ARBITER labels in an order randomized for each cell, without source identities or rationales, and chose the most defensible label. Each subsequently supplied a revised rating, which could differ from all offered labels, and recorded whether signalling answers were retained or changed. Independent ratings, label choices and revised ratings were analyzed separately. Blinded adjudication of discordant data-extraction items supplied a design precedent.[13] eMethods summarizes the assessment sequence; the completed assessment workbooks are available in the study repository. [Pending: original assessor instructions and blank assessment form.]</w:t>
      </w:r>
    </w:p>
    <w:bookmarkEnd w:id="21"/>
    <w:bookmarkStart w:id="22" w:name="outcomes"/>
    <w:p>
      <w:bookmarkStart w:id="90" w:name="loc_31"/>
      <w:pPr>
        <w:pStyle w:val="Heading2"/>
      </w:pPr>
      <w:r>
        <w:rPr>
          <w:b/>
        </w:rPr>
        <w:t>Outcomes</w:t>
      </w:r>
      <w:bookmarkEnd w:id="90"/>
    </w:p>
    <w:p>
      <w:pPr>
        <w:pStyle w:val="FirstParagraph"/>
      </w:pPr>
      <w:r>
        <w:t xml:space="preserve">The formal primary endpoint was the proportion of agreed expert label choices matching ARBITER among cells where the arms’ ratings differed. The denominator included only cells in which both experts chose the same label; the numerator included those where that label matched ARBITER. Credit followed label equality: every source matching the chosen label received credit, and neither arm received credit if neither matched. Cells with identical labels from all sources provided no information about label choice between sources. Sensitivity analyses used each expert’s choices across all arm disagreements and counted split choices as ARBITER losses without assigning Unassisted wins. The endpoint measures label-choice match, not preference for a system’s reasoning or workflow.</w:t>
      </w:r>
    </w:p>
    <w:p>
      <w:pPr>
        <w:pStyle w:val="BodyText"/>
      </w:pPr>
      <w:r>
        <w:t xml:space="preserve">Secondary agreement outcomes compared each source with each expert’s independent domain ratings across all 510 cells. These domain ratings were read directly from the experts’ assessment records. Exact agreement was the proportion of ratings matching the reference; paired percentage-point differences compared the arms’ matches within the same cells. Linearly weighted Cohen’s κ supplied complementary ordinal context. Published labels were another source, not an expert standard. Supporting analyses included expert-to-expert agreement, unweighted κ, confusion matrices, expert means and restriction to cells where the independent experts agreed.</w:t>
      </w:r>
    </w:p>
    <w:p>
      <w:pPr>
        <w:pStyle w:val="BodyText"/>
      </w:pPr>
      <w:r>
        <w:t xml:space="preserve">Signalling-answer agreement distinguished five levels: yes, probably yes, no, probably no and no information. Collapsed coding combined definite and probable affirmative answers and combined definite and probable negative answers, leaving no information separate. Answers were matched by trial, domain, question and component. A component was an explicitly named part of an answer, such as a separate answer for a particular outcome; an undivided answer was treated as one component. Answers for different named components were not pooled. Missing, inactive, not applicable, unmatched and unresolved answers were excluded; paired contrasts required evaluable answers in both arms. These comparisons assessed signalling answers separately from the recorded domain ratings. Published-label comparisons used weighted κ, exact agreement, sensitivity for Some concerns or High, and specificity, with Gwet’s AC2 supplementary. An All-Low rule described label prevalence; its κ was suppressed because predictions lacked variance. Missing predictions counted as disagreement.</w:t>
      </w:r>
    </w:p>
    <w:p>
      <w:pPr>
        <w:pStyle w:val="BodyText"/>
      </w:pPr>
      <w:r>
        <w:t xml:space="preserve">Process outcomes assessed consistency with the decision rules and the completeness and source links of the retained records. We applied the official RoB 2 algorithms to each arm’s own answers, using effect of assignment for deviations from intended interventions.[1] The five domains concern randomisation, deviations from intended interventions, missing outcome data, outcome measurement and selection of the reported result. Ratings that contradicted their answers or omitted required questions constituted rule breaks; absent ratings and answer sets were unevaluable. A sensitivity analysis recursively resolved invalid required answers as negative or no information. Overall checks permitted escalation when multiple domains had Some concerns. Evidence coverage counted required active answers citing a passage or image. Quotation checks assessed whether evidence records identified the captured source and its location; audit-file checks assessed the integrity of the retained assessment files. These structural checks did not assess whether the evidence justified the answer. The algorithm determines proposed ratings; adopted ratings were checked separately because documented overrides were permitted.</w:t>
      </w:r>
    </w:p>
    <w:p>
      <w:pPr>
        <w:pStyle w:val="BodyText"/>
      </w:pPr>
      <w:r>
        <w:t xml:space="preserve">Computational outcomes were runtime, summed across the elapsed durations of the model’s turns, and application programming interface (API) list-price equivalents reconstructed from recorded token counts and fixed provider rates. Tokens are the units of text processed or generated by the model. The runs used a subscription, so these dollar estimates were not expenditure. eMethods details the treatment of cached inputs and additional model calls.</w:t>
      </w:r>
    </w:p>
    <w:p>
      <w:pPr>
        <w:pStyle w:val="BodyText"/>
      </w:pPr>
      <w:r>
        <w:t xml:space="preserve">Exploratory analyses examined derived Overall ratings, severity and direction of disagreement, and rules-only recomputation. Derived Overall took the worst independent domain rating without optional escalation for multiple Some concerns. It summarized the five domains rather than providing an independent sixth domain. Expert-reference analyses used all 102 trials; Published Overall comparisons used only the 81 trials with observed labels, excluding 21 without labels. Directional analyses partitioned ratings stricter or more lenient than Published into expert matches to the arm, Published or neither. Rules-only recomputation replaced Unassisted ratings that contradicted their answers while retaining invalid answer sequences and missing ratings. Original disagreement populations remained fixed; new ties could credit both arms. Binary expert comparisons and severity strata were exploratory. Label choices across all disputed cells and revised ratings were descriptive because offered labels could anchor responses.</w:t>
      </w:r>
    </w:p>
    <w:bookmarkEnd w:id="22"/>
    <w:bookmarkStart w:id="23" w:name="statistical-analysis"/>
    <w:p>
      <w:bookmarkStart w:id="97" w:name="loc_38"/>
      <w:pPr>
        <w:pStyle w:val="Heading2"/>
      </w:pPr>
      <w:r>
        <w:rPr>
          <w:b/>
        </w:rPr>
        <w:t>Statistical analysis</w:t>
      </w:r>
      <w:bookmarkEnd w:id="97"/>
    </w:p>
    <w:p>
      <w:pPr>
        <w:pStyle w:val="FirstParagraph"/>
      </w:pPr>
      <w:r>
        <w:t xml:space="preserve">We used 10,000 stratified trial-cluster bootstrap resamples, seed 20261018. Trials were sampled with replacement within each of the 16 fixed reviews, retaining each review’s trial count and carrying both arms and all domain ratings together. Paired contrasts shared resampling weights. Percentile 95% CIs quantify trial variation conditional on these reviews, two experts and observed model runs; they do not quantify variation across new reviews, experts or repeated runs. Expert means averaged expert-specific estimates within each shared resample. No</w:t>
      </w:r>
      <w:r>
        <w:t xml:space="preserve"> </w:t>
      </w:r>
      <w:r>
        <w:rPr>
          <w:i/>
          <w:iCs/>
        </w:rPr>
        <w:t xml:space="preserve">P</w:t>
      </w:r>
      <w:r>
        <w:t xml:space="preserve"> </w:t>
      </w:r>
      <w:r>
        <w:t>values or multiplicity adjustments were used. The primary endpoint and secondary or exploratory outcomes were distinguished as specified above. Reporting was guided by TRIPOD-LLM and GRRAS, with an accompanying item map and author-completion fields.⁠[14,15]</w:t>
      </w:r>
    </w:p>
    <w:bookmarkEnd w:id="23"/>
    <w:bookmarkEnd w:id="24"/>
    <w:bookmarkStart w:id="25" w:name="results-1"/>
    <w:p>
      <w:bookmarkStart w:id="99" w:name="loc_40"/>
      <w:pPr>
        <w:pStyle w:val="Heading1"/>
      </w:pPr>
      <w:r>
        <w:rPr>
          <w:b/>
        </w:rPr>
        <w:t>RESULTS</w:t>
      </w:r>
      <w:bookmarkEnd w:id="99"/>
    </w:p>
    <w:p>
      <w:pPr>
        <w:pStyle w:val="FirstParagraph"/>
        <w:keepNext w:val="0"/>
        <w:keepLines/>
      </w:pPr>
      <w:r>
        <w:t xml:space="preserve">The 102 included trials yielded 510 trial–domain cells, all independently assessed by both experts (Figure 3; Table 1). Published labels were Low in 427/510 cells (83.7%), compared with 277/510 (54.3%) for Expert 1 and 346/510 (67.8%) for Expert 2. An all-Low rule matched 83.7% of Published domain labels. The experts agreed in 388/510 cells (76.1%; linearly weighted κ, 0.59).</w:t>
      </w:r>
    </w:p>
    <w:p>
      <w:bookmarkStart w:id="101" w:name="loc_42"/>
      <w:pPr>
        <w:pStyle w:val="Heading2"/>
        <w:keepNext/>
        <w:pageBreakBefore w:val="0"/>
        <w:spacing w:line="240" w:lineRule="auto" w:after="80"/>
      </w:pPr>
      <w:r>
        <w:rPr>
          <w:b/>
        </w:rPr>
        <w:t>Table 1. Benchmark and reference context</w:t>
      </w:r>
      <w:bookmarkEnd w:id="101"/>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Characteristic</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Value</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102</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Meta-analyses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Specialties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15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protocol</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26/102 (25.5%)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registry</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73/102 (71.6%)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SAP</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22/102 (21.6%)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supplement</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69/102 (67.6%)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D1–D5: Published</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Low: 427/510 (83.7%); Some concerns: 69/510 (13.5%); High: 14/510 (2.7%)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D1–D5: Expert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Low: 277/510 (54.3%); Some concerns: 163/510 (32.0%); High: 70/510 (13.7%)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D1–D5: Expert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Low: 346/510 (67.8%); Some concerns: 131/510 (25.7%); High: 33/510 (6.5%)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keepNext w:val="0"/>
              <w:spacing w:before="0" w:after="0" w:line="240" w:lineRule="auto"/>
            </w:pPr>
            <w:r>
              <w:rPr>
                <w:rFonts w:ascii="Arial" w:hAnsi="Arial"/>
                <w:sz w:val="20"/>
              </w:rPr>
              <w:t xml:space="default">Reference categories are Low, Some concerns and High; each reference contributes 510 domain cells. Document counts are trials with each role recorded in the source inventory among 102 trials; roles can overlap. SAP, statistical analysis plan. Detailed distributions for all sources and derived Overall appear in the supplement.</w:t>
            </w:r>
          </w:p>
        </w:tc>
      </w:tr>
    </w:tbl>
    <w:p>
      <w:pPr>
        <w:pStyle w:val="BodyText"/>
        <w:keepNext w:val="0"/>
        <w:keepLines/>
      </w:pPr>
      <w:r>
        <w:t xml:space="preserve">Among 80 cells where the arms’ ratings differed, the experts chose the same label in 60 and split in 20. The agreed label matched ARBITER in 53/60 cells (88%; 95% CI, 80–96%) and Unassisted in 7/60 (12%), constituting the formal primary result (Table 2). Across all 80 disagreements, the label chosen by Expert 1 matched ARBITER in 63/80 (79%), and that chosen by Expert 2 matched ARBITER in 61/80 (76%). Counting every split choice against ARBITER gave 53/80 (66%).</w:t>
      </w:r>
    </w:p>
    <w:p>
      <w:bookmarkStart w:id="103" w:name="loc_44"/>
      <w:pPr>
        <w:pStyle w:val="Heading2"/>
        <w:keepNext/>
        <w:pageBreakBefore w:val="0"/>
        <w:spacing w:line="240" w:lineRule="auto" w:after="80"/>
      </w:pPr>
      <w:r>
        <w:rPr>
          <w:b/>
        </w:rPr>
        <w:t>Table 2. Conditional primary endpoint and core sensitivities</w:t>
      </w:r>
      <w:bookmarkEnd w:id="103"/>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Population</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ARBITER, No./total (%) (95% CI)</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Agreed choices (formal primary)</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53/60 (88%; 80–96)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Expert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63/80 (79%; 70–87)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Expert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61/80 (76%; 68–85)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All splits counted against ARBITER</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53/80 (66%; 58–75)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keepNext w:val="0"/>
              <w:spacing w:before="0" w:after="0" w:line="240" w:lineRule="auto"/>
            </w:pPr>
            <w:r>
              <w:rPr>
                <w:rFonts w:ascii="Arial" w:hAnsi="Arial"/>
                <w:sz w:val="20"/>
              </w:rPr>
              <w:t xml:space="default">The formal primary endpoint conditions on 80 arm-discordant cells and the 60 for which the experts made an agreed choice; 20 choices split. Expert-specific sensitivities use all 80. The final row counts all 20 splits against ARBITER by assumption, without assigning Unassisted wins. Expert 1 chose neither arm in 4/80 cells; this is distinct from the split-loss assumption. CI, 95% confidence interval; 10,000 percentile bootstrap replicates, trials resampled within meta-analysis; seed 20261018.</w:t>
            </w:r>
          </w:p>
        </w:tc>
      </w:tr>
    </w:tbl>
    <w:p>
      <w:pPr>
        <w:pStyle w:val="BodyText"/>
      </w:pPr>
      <w:r>
        <w:t xml:space="preserve">ARBITER had greater agreement with each independent expert across the full cohort (Figure 4). It matched Expert 1 in 371/510 cells (72.7%) versus 332/510 (65.1%) for Unassisted, a paired gain of 7.6 percentage points (95% CI, 5.1–10.2). Against Expert 2, agreement was 433/510 (84.9%) versus 400/510 (78.4%), a gain of 6.5 points (3.5–9.4). Weighted κ values were 0.51 and 0.69 for ARBITER, compared with 0.35 and 0.53 for Unassisted.</w:t>
      </w:r>
    </w:p>
    <w:p>
      <w:pPr>
        <w:pStyle w:val="BodyText"/>
      </w:pPr>
      <w:r>
        <w:t xml:space="preserve">The domain profiles showed both gains and disagreement. Selection of the reported result (D5) had the largest observed gains: 19.6 points (95% CI, 11.8–27.5) and 11.8 (2.9–20.6) against Experts 1 and 2. For missing outcome data (D3), ARBITER matched 43/102 ratings from Expert 1 (42.2%) and 80/102 from Expert 2 (78.4%); the experts agreed in 54/102 cells.</w:t>
      </w:r>
    </w:p>
    <w:p>
      <w:pPr>
        <w:pStyle w:val="BodyText"/>
      </w:pPr>
      <w:r>
        <w:t xml:space="preserve">Published labels matched the experts in 301/510 and 362/510 cells. Against Published across all 510 cells, ARBITER matched 386/510 (75.7%) and Unassisted 395/510 (77.5%), a paired difference of −1.8 points (95% CI, −5.1 to 1.6).</w:t>
      </w:r>
    </w:p>
    <w:p>
      <w:pPr>
        <w:pStyle w:val="BodyText"/>
      </w:pPr>
      <w:r>
        <w:t xml:space="preserve">Signalling-answer agreement depended on whether probable and definite answers were distinguished (Figure 5). In D3 against Expert 1, the five-level paired ARBITER minus Unassisted difference was −10.3 points (95% CI, −17.2 to −3.2), whereas the collapsed difference was +8.5 (3.5–13.7), both using 165 paired components. In D5, collapsed gains were +11.3 points against Expert 1, using 301 paired components, and +3.7 (−0.3 to 7.4) against Expert 2, using 300. The supplement reports complete question-level results and source-specific absolute rates, whose eligible denominators may differ from those of the paired contrasts. Exploratory rules-only recomputation changed 26 Unassisted labels while retaining their recorded answers, invalid answer sequences and missingness.</w:t>
      </w:r>
    </w:p>
    <w:p>
      <w:pPr>
        <w:pStyle w:val="BodyText"/>
        <w:keepNext w:val="0"/>
        <w:keepLines/>
      </w:pPr>
      <w:r>
        <w:t xml:space="preserve">All 510 adopted ARBITER domain outputs conformed to the algorithms, with no recorded domain overrides (Table 3). The algorithm determines the proposed ratings; the absence of overrides and conformance of the adopted ratings were observations in this benchmark. Unassisted had 65/509 evaluable rule breaks: 26 contradictory ratings and 39 required-question omissions; one cell was unevaluable. All 1538 active required answers cited a passage or image. All 1407/1407 text spans and 14 image records met checks linking them to their stored sources, and all 102 exported assessment records passed checks of completeness and consistency. These audits counted different objects and did not establish whether the cited evidence supported the answers.</w:t>
      </w:r>
    </w:p>
    <w:p>
      <w:bookmarkStart w:id="109" w:name="loc_50"/>
      <w:pPr>
        <w:pStyle w:val="Heading2"/>
        <w:keepNext/>
        <w:pageBreakBefore w:val="0"/>
        <w:spacing w:line="240" w:lineRule="auto" w:after="80"/>
      </w:pPr>
      <w:r>
        <w:rPr>
          <w:b/>
        </w:rPr>
        <w:t>Table 3. Process checks and computational resources</w:t>
      </w:r>
      <w:bookmarkEnd w:id="109"/>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817"/>
        <w:gridCol w:w="1587"/>
        <w:gridCol w:w="2098"/>
        <w:gridCol w:w="2362"/>
      </w:tblGrid>
      <w:tr>
        <w:trPr>
          <w:cantSplit/>
          <w:tblHeader/>
        </w:trPr>
        <w:tc>
          <w:tcPr>
            <w:tcW w:type="dxa" w:w="3817"/>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Measure</w:t>
            </w:r>
          </w:p>
        </w:tc>
        <w:tc>
          <w:tcPr>
            <w:tcW w:type="dxa" w:w="1587"/>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ARBITER</w:t>
            </w:r>
          </w:p>
        </w:tc>
        <w:tc>
          <w:tcPr>
            <w:tcW w:type="dxa" w:w="2098"/>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Unassisted</w:t>
            </w:r>
          </w:p>
        </w:tc>
        <w:tc>
          <w:tcPr>
            <w:tcW w:type="dxa" w:w="2362"/>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Paired mean difference (95% CI)</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keepNext/>
              <w:spacing w:before="0" w:after="0" w:line="240" w:lineRule="auto"/>
            </w:pPr>
            <w:r>
              <w:rPr>
                <w:rFonts w:ascii="Arial" w:hAnsi="Arial"/>
                <w:sz w:val="20"/>
                <w:b/>
              </w:rPr>
              <w:t xml:space="default">A. Rule conformance</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Domain outputs reproduced from proposals</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510/510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Rating contradicts its own answers</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 by design</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26/509 (5.1%; 3.3–6.9)</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Required question skipped</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 by design</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39/509 (7.7%; 5.7–10.0)</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Any rule break</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 by design</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65/509 (12.8%; 10.0–15.6)</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keepNext/>
              <w:spacing w:before="0" w:after="0" w:line="240" w:lineRule="auto"/>
            </w:pPr>
            <w:r>
              <w:rPr>
                <w:rFonts w:ascii="Arial" w:hAnsi="Arial"/>
                <w:sz w:val="20"/>
                <w:b/>
              </w:rPr>
              <w:t xml:space="default">B. Structural record checks</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Answers citing ≥1 passage or image</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1,538/1,538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Quoted text linked to its source</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1,407/1,407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90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Image regions linked to their page</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14/14 (100%)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Audit file passes the independent verifier</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102/102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keepNext/>
              <w:spacing w:before="0" w:after="0" w:line="240" w:lineRule="auto"/>
            </w:pPr>
            <w:r>
              <w:rPr>
                <w:rFonts w:ascii="Arial" w:hAnsi="Arial"/>
                <w:sz w:val="20"/>
                <w:b/>
              </w:rPr>
              <w:t xml:space="default">C. Computational resources</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Runtime (minutes/trial), median (IQR)</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7.6 (6.1–10.5)</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0.5 (0.4–0.5)</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11.0 (8.4–14.1)</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API list-price equivalent (US$/trial), median (IQR)</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3.78 (3.46–4.10)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0.09 (0.07–0.13)</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3.68 (3.61–3.75)</w:t>
            </w:r>
          </w:p>
        </w:tc>
      </w:tr>
      <w:tr>
        <w:trPr>
          <w:cantSplit/>
        </w:trPr>
        <w:tc>
          <w:tcPr>
            <w:gridSpan w:val="4"/>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keepNext w:val="0"/>
              <w:spacing w:before="0" w:after="0" w:line="240" w:lineRule="auto"/>
            </w:pPr>
            <w:r>
              <w:rPr>
                <w:rFonts w:ascii="Arial" w:hAnsi="Arial"/>
                <w:sz w:val="20"/>
              </w:rPr>
              <w:t xml:space="default">Unassisted rule-break cells show No./total (%; 95% CI); CI bounds are percentages. Domain rules use evaluable ratings (ARBITER 510; Unassisted 509); one Unassisted cell is unevaluable. Evidence denominators count active answers or distinct evidence records as indicated; verifier denominator is 102 bundles. ARBITER has no recorded domain overrides; one Overall escalation is permitted. Evidence checks establish quotation occurrence and structural binding, without assessing answer support. Runtime and API list-price equivalents use 102 paired trials; source summaries are median (IQR), contrasts are paired mean differences. Cost is a frozen-rate equivalent, not expenditure. — means not applicable; Not available means not measured. CI, 95% confidence interval; 10,000 percentile bootstrap replicates, trials resampled within meta-analysis; seed 20261018.</w:t>
            </w:r>
          </w:p>
        </w:tc>
      </w:tr>
    </w:tbl>
    <w:p>
      <w:pPr>
        <w:pStyle w:val="BodyText"/>
      </w:pPr>
      <w:r>
        <w:t xml:space="preserve">ARBITER required more computation. Median (IQR) runtime was 7.6 (6.1–10.5) versus 0.5 (0.4–0.5) minutes per trial; the paired mean difference was 11.0 minutes (95% CI, 8.4–14.1). Median (IQR) API list-price equivalents were US$3.78 (3.46–4.10) versus US$0.09 (0.07–0.13), with a paired mean difference of US$3.68 (3.61–3.75).</w:t>
      </w:r>
    </w:p>
    <w:bookmarkEnd w:id="25"/>
    <w:bookmarkStart w:id="27" w:name="discussion-1"/>
    <w:p>
      <w:bookmarkStart w:id="111" w:name="loc_52"/>
      <w:pPr>
        <w:pStyle w:val="Heading1"/>
      </w:pPr>
      <w:r>
        <w:rPr>
          <w:b/>
        </w:rPr>
        <w:t>DISCUSSION</w:t>
      </w:r>
      <w:bookmarkEnd w:id="111"/>
    </w:p>
    <w:p>
      <w:pPr>
        <w:pStyle w:val="FirstParagraph"/>
      </w:pPr>
      <w:r>
        <w:t xml:space="preserve">ARBITER preserved the evidence and decisions behind each assessment and agreed more often with both independent experts than the same-model minimal-prompt comparator, Unassisted. Across all 510 trial–domain assessments, paired agreement gains were 7.6 percentage points (95% CI, 5.1–10.2) against Expert 1 and 6.5 (3.5–9.4) against Expert 2. These secondary comparisons used independent ratings frozen before experts saw the offered labels.</w:t>
      </w:r>
    </w:p>
    <w:p>
      <w:pPr>
        <w:pStyle w:val="BodyText"/>
      </w:pPr>
      <w:r>
        <w:t xml:space="preserve">The formal primary endpoint answered a narrower question about disputed ratings. Among 80 assessments in which the workflows differed, both experts chose the same blinded label in 60 and split in 20. ARBITER matched the agreed choice in 53/60 (88%; 95% CI, 80–96%). This endpoint measures agreement with the chosen label in a selected subset. Experts saw neither source identities nor rationales, so their choices do not endorse a system or its reasoning. The independent-rating comparisons provide the broader context.</w:t>
      </w:r>
    </w:p>
    <w:p>
      <w:pPr>
        <w:pStyle w:val="BodyText"/>
      </w:pPr>
      <w:r>
        <w:t xml:space="preserve">The retained record makes the route to a rating examinable. In the illustrative AVATAR assessment, the stored documents did not establish a dated analysis plan for the assessed result. A reviewer can inspect the signalling answers and cited passages to examine that interpretation. ARBITER copies quotations directly from stored documents, links them to source locations and applies the decision rules to the recorded answers. Software computes a proposed rating from the answers, but the workflow permits a different adopted rating with recorded evidence and rationale. No domain overrides occurred in these runs.</w:t>
      </w:r>
    </w:p>
    <w:p>
      <w:pPr>
        <w:pStyle w:val="BodyText"/>
      </w:pPr>
      <w:r>
        <w:t xml:space="preserve">All 510 ARBITER domain outputs followed the executable rules, but the quoted evidence still requires interpretation. The source checks established the integrity of the links and exported records, not whether each passage justified its answer; image descriptions also remained model-written. Liang and colleagues addressed evidence support as a separate outcome in RoB 2 assessment by retrieving trial passages and using another model to classify support for generated claims.[16] Their automated verification is an evaluation approach rather than independent human adjudication. It identifies a directly relevant task for ARBITER’s next evaluation: checking whether the recorded evidence supports the interpretation attached to it.</w:t>
      </w:r>
    </w:p>
    <w:p>
      <w:pPr>
        <w:pStyle w:val="BodyText"/>
      </w:pPr>
      <w:r>
        <w:t xml:space="preserve">The comparison estimates the difference between complete workflows. Both used the same model and supplied trial evidence, but ARBITER received additional guidance, tools and computation. The observed gains cannot be assigned to its decision rules, evidence records or another component, and minimal prompting does not represent the structured alternatives already studied.[6,7,8] RoB2-Evaluator, described in a recent preprint, is another rule-constrained RoB 2 implementation.[17] Choi and colleagues separately examined repeated outputs and algorithm conformance in a single-trial pilot.[18] Their design and this multi-trial, single-run benchmark address complementary questions; ARBITER’s results do not establish repeatability.</w:t>
      </w:r>
    </w:p>
    <w:p>
      <w:pPr>
        <w:pStyle w:val="BodyText"/>
      </w:pPr>
      <w:r>
        <w:t xml:space="preserve">Domain findings limit a uniform account of the agreement advantage. Selection of the reported result had the largest observed gains, whereas missing outcome data (D3) yielded agreement of 43/102 with Expert 1 and 80/102 with Expert 2. For D3 signalling answers against Expert 1, the paired difference was unfavorable with five-level coding, −10.3 points (95% CI, −17.2 to −3.2), but favorable after combining probable with definite answers, +8.5 (3.5–13.7). Collapsing categories changes the question being measured and does not remove the unfavorable result. The smaller collapsed gain for selection of the reported result against Expert 2 also limits a uniform explanation. Rules-only recomputation describes consistency without identifying which component caused the agreement differences.</w:t>
      </w:r>
    </w:p>
    <w:p>
      <w:pPr>
        <w:pStyle w:val="BodyText"/>
      </w:pPr>
      <w:r>
        <w:t xml:space="preserve">Agreement with labels reported in the source reviews showed a different pattern. The ARBITER minus Unassisted difference was −1.8 percentage points (95% CI, −5.1 to 1.6), compatible with either direction. Published labels were predominantly Low, and some assessment targets were broader, inferred or different from those evaluated here. Target differences and judgment thresholds are possible explanations, not established causes. The separate expert estimates and D3 disagreements also show why fresh assessments cannot be treated as an error-free standard. Intervals on individual estimates do not test differences between domains or references.</w:t>
      </w:r>
    </w:p>
    <w:p>
      <w:pPr>
        <w:pStyle w:val="BodyText"/>
      </w:pPr>
      <w:r>
        <w:t xml:space="preserve">Generalization is bounded by ordered, availability-dependent trial selection, 16 fixed reviews, two experts and one run per arm. The bootstrap quantifies trial variation within those reviews, conditional on the experts and observed runs. Experts could consult additional sources, and prior model exposure to trial reports is unknown. The unrelated De Waal registry record illustrates the importance of checking supplied sources. Offered labels could influence forced choices and revised ratings; derived Overall ratings reuse the domain assessments and provide no independent confirmation.</w:t>
      </w:r>
    </w:p>
    <w:p>
      <w:pPr>
        <w:pStyle w:val="BodyText"/>
      </w:pPr>
      <w:r>
        <w:t xml:space="preserve">Human use remains a separate empirical question. In Jardim and colleagues’ study of RobotReviewer in ongoing reviews using the earlier instrument, reviewers used snippets to locate material and checked the original report when needed.[19] That study lacked a manual-only comparison and could not estimate time savings. ARBITER’s longer runtime and higher list-price equivalents quantify computation, not reviewer workload. Whether its records help reviewers identify unsupported interpretations, how long checking takes and whether reviewers accept inappropriate suggestions require direct observation of reviewers using the workflow.</w:t>
      </w:r>
    </w:p>
    <w:bookmarkStart w:id="26" w:name="conclusion-1"/>
    <w:p>
      <w:bookmarkStart w:id="121" w:name="loc_62"/>
      <w:pPr>
        <w:pStyle w:val="Heading2"/>
      </w:pPr>
      <w:r>
        <w:rPr>
          <w:b/>
        </w:rPr>
        <w:t>Conclusion</w:t>
      </w:r>
      <w:bookmarkEnd w:id="121"/>
    </w:p>
    <w:p>
      <w:pPr>
        <w:pStyle w:val="FirstParagraph"/>
      </w:pPr>
      <w:r>
        <w:t xml:space="preserve">ARBITER makes the pathway from source evidence through signalling answers to RoB 2 ratings inspectable. Its complete workflow had greater agreement with both independent experts than a same-model minimal-prompt comparator, with domain and reference dependence. The available implementation retains the supplied sources, recorded answers, cited evidence and rating decisions for inspection.</w:t>
      </w:r>
    </w:p>
    <w:bookmarkEnd w:id="26"/>
    <w:bookmarkEnd w:id="27"/>
    <w:bookmarkStart w:id="37" w:name="back-matter"/>
    <w:p>
      <w:bookmarkStart w:id="123" w:name="loc_64"/>
      <w:pPr>
        <w:pStyle w:val="Heading1"/>
      </w:pPr>
      <w:r>
        <w:rPr>
          <w:b/>
        </w:rPr>
        <w:t>BACK MATTER</w:t>
      </w:r>
      <w:bookmarkEnd w:id="123"/>
    </w:p>
    <w:bookmarkStart w:id="28" w:name="acknowledgments-and-ai-use"/>
    <w:p>
      <w:bookmarkStart w:id="124" w:name="loc_65"/>
      <w:pPr>
        <w:pStyle w:val="Heading2"/>
      </w:pPr>
      <w:r>
        <w:rPr>
          <w:b/>
        </w:rPr>
        <w:t>Acknowledgments and AI use</w:t>
      </w:r>
      <w:bookmarkEnd w:id="124"/>
    </w:p>
    <w:p>
      <w:pPr>
        <w:pStyle w:val="FirstParagraph"/>
      </w:pPr>
      <w:r>
        <w:t xml:space="preserve">[Non-author contributors and acknowledgments]. OpenAI GPT-6-Astra, GPT-6.1-Sol and GPT-6-Luna, accessed through T3 Code, assisted literature research, drafting and editorial checks in this revision. Final author review, approval and accountability remain pending; any AI assistance before this revision remains to be confirmed. [Author to verify the complete disclosure, including any AI use in code, data processing or figures, and provide matching cover-letter disclosure]. The expert assessments and forced-choice adjudication used no AI.</w:t>
      </w:r>
    </w:p>
    <w:bookmarkEnd w:id="28"/>
    <w:bookmarkStart w:id="29" w:name="funding"/>
    <w:p>
      <w:bookmarkStart w:id="126" w:name="loc_67"/>
      <w:pPr>
        <w:pStyle w:val="Heading2"/>
      </w:pPr>
      <w:r>
        <w:rPr>
          <w:b/>
        </w:rPr>
        <w:t>Funding</w:t>
      </w:r>
      <w:bookmarkEnd w:id="126"/>
    </w:p>
    <w:p>
      <w:pPr>
        <w:pStyle w:val="FirstParagraph"/>
      </w:pPr>
      <w:r>
        <w:t xml:space="preserve">[Funding sources, grant identifiers and funder role, or an explicit statement of no funding].</w:t>
      </w:r>
    </w:p>
    <w:bookmarkEnd w:id="29"/>
    <w:bookmarkStart w:id="30" w:name="competing-interests"/>
    <w:p>
      <w:bookmarkStart w:id="128" w:name="loc_69"/>
      <w:pPr>
        <w:pStyle w:val="Heading2"/>
      </w:pPr>
      <w:r>
        <w:rPr>
          <w:b/>
        </w:rPr>
        <w:t>Competing interests</w:t>
      </w:r>
      <w:bookmarkEnd w:id="128"/>
    </w:p>
    <w:p>
      <w:pPr>
        <w:pStyle w:val="FirstParagraph"/>
      </w:pPr>
      <w:r>
        <w:t xml:space="preserve">[Author-specific competing interests, including relevant relationships to ARBITER, or an explicit declaration of none].</w:t>
      </w:r>
    </w:p>
    <w:bookmarkEnd w:id="30"/>
    <w:bookmarkStart w:id="31" w:name="author-contributions"/>
    <w:p>
      <w:bookmarkStart w:id="130" w:name="loc_71"/>
      <w:pPr>
        <w:pStyle w:val="Heading2"/>
      </w:pPr>
      <w:r>
        <w:rPr>
          <w:b/>
        </w:rPr>
        <w:t>Author contributions</w:t>
      </w:r>
      <w:bookmarkEnd w:id="130"/>
    </w:p>
    <w:p>
      <w:pPr>
        <w:pStyle w:val="FirstParagraph"/>
      </w:pPr>
      <w:r>
        <w:t xml:space="preserve">[Author names mapped to CRediT roles; confirmation of final approval and accountability].</w:t>
      </w:r>
    </w:p>
    <w:bookmarkEnd w:id="31"/>
    <w:bookmarkStart w:id="32" w:name="Xa795f839aa3476760733bd38e4d2d15944e6881"/>
    <w:p>
      <w:bookmarkStart w:id="132" w:name="loc_73"/>
      <w:pPr>
        <w:pStyle w:val="Heading2"/>
      </w:pPr>
      <w:r>
        <w:rPr>
          <w:b/>
        </w:rPr>
        <w:t>Ethics, registration and public involvement</w:t>
      </w:r>
      <w:bookmarkEnd w:id="132"/>
    </w:p>
    <w:p>
      <w:pPr>
        <w:pStyle w:val="FirstParagraph"/>
      </w:pPr>
      <w:r>
        <w:t xml:space="preserve">[Ethics approval or exemption determination and consent requirements, including the expert assessment and forced-choice component]. [Study registration status and identifier, if applicable]. [Patient and public involvement statement].</w:t>
      </w:r>
    </w:p>
    <w:bookmarkEnd w:id="32"/>
    <w:bookmarkStart w:id="36" w:name="data-availability"/>
    <w:p>
      <w:bookmarkStart w:id="134" w:name="loc_75"/>
      <w:pPr>
        <w:pStyle w:val="Heading2"/>
      </w:pPr>
      <w:r>
        <w:rPr>
          <w:b/>
        </w:rPr>
        <w:t>Data availability</w:t>
      </w:r>
      <w:bookmarkEnd w:id="134"/>
    </w:p>
    <w:p>
      <w:pPr>
        <w:pStyle w:val="FirstParagraph"/>
      </w:pPr>
      <w:r>
        <w:t xml:space="preserve">The</w:t>
      </w:r>
      <w:r>
        <w:t xml:space="preserve"> </w:t>
      </w:r>
      <w:hyperlink r:id="rId33">
        <w:r>
          <w:rPr>
            <w:rStyle w:val="Hyperlink"/>
          </w:rPr>
          <w:t xml:space="preserve">public study repository</w:t>
        </w:r>
      </w:hyperlink>
      <w:r>
        <w:t xml:space="preserve"> </w:t>
      </w:r>
      <w:r>
        <w:t xml:space="preserve">provides analysis code, derived data, expert assessment sheets, prompts and reproducibility materials. An archival DOI and complete dataset citation remain pending. ARBITER source is available at</w:t>
      </w:r>
      <w:r>
        <w:t xml:space="preserve"> </w:t>
      </w:r>
      <w:hyperlink r:id="rId19">
        <w:r>
          <w:rPr>
            <w:rStyle w:val="Hyperlink"/>
          </w:rPr>
          <w:t xml:space="preserve">the public software commit</w:t>
        </w:r>
      </w:hyperlink>
      <w:r>
        <w:t xml:space="preserve">. The</w:t>
      </w:r>
      <w:r>
        <w:t xml:space="preserve"> </w:t>
      </w:r>
      <w:hyperlink r:id="rId34">
        <w:r>
          <w:rPr>
            <w:rStyle w:val="Hyperlink"/>
          </w:rPr>
          <w:t xml:space="preserve">results report</w:t>
        </w:r>
      </w:hyperlink>
      <w:r>
        <w:t xml:space="preserve"> </w:t>
      </w:r>
      <w:r>
        <w:t xml:space="preserve">and</w:t>
      </w:r>
      <w:r>
        <w:t xml:space="preserve"> </w:t>
      </w:r>
      <w:hyperlink r:id="rId35">
        <w:r>
          <w:rPr>
            <w:rStyle w:val="Hyperlink"/>
          </w:rPr>
          <w:t xml:space="preserve">supplement</w:t>
        </w:r>
      </w:hyperlink>
      <w:r>
        <w:t xml:space="preserve"> </w:t>
      </w:r>
      <w:r>
        <w:t xml:space="preserve">provide the figures, editable tables and reproduction links. Trial PDFs will not be redistributed; trial DOIs and source-file hashes will identify the inputs. Author declarations and archival registration remain pending completion.</w:t>
      </w:r>
    </w:p>
    <w:bookmarkEnd w:id="36"/>
    <w:bookmarkEnd w:id="37"/>
    <w:bookmarkStart w:id="57" w:name="references"/>
    <w:p>
      <w:bookmarkStart w:id="136" w:name="loc_77"/>
      <w:pPr>
        <w:pStyle w:val="Heading1"/>
      </w:pPr>
      <w:r>
        <w:rPr>
          <w:b/>
        </w:rPr>
        <w:t>REFERENCES</w:t>
      </w:r>
      <w:bookmarkEnd w:id="136"/>
    </w:p>
    <w:p>
      <w:pPr>
        <w:numPr>
          <w:ilvl w:val="0"/>
          <w:numId w:val="1001"/>
        </w:numPr>
      </w:pPr>
      <w:r>
        <w:t xml:space="preserve">Sterne JAC, Savović J, Page MJ, et al. RoB 2: a revised tool for assessing risk of bias in randomised trials.</w:t>
      </w:r>
      <w:r>
        <w:t xml:space="preserve"> </w:t>
      </w:r>
      <w:r>
        <w:rPr>
          <w:i/>
          <w:iCs/>
        </w:rPr>
        <w:t xml:space="preserve">BMJ</w:t>
      </w:r>
      <w:r>
        <w:t xml:space="preserve"> </w:t>
      </w:r>
      <w:r>
        <w:t xml:space="preserve">2019;366:l4898. doi:</w:t>
      </w:r>
      <w:hyperlink r:id="rId38">
        <w:r>
          <w:rPr>
            <w:rStyle w:val="Hyperlink"/>
          </w:rPr>
          <w:t xml:space="preserve">10.1136/bmj.l4898</w:t>
        </w:r>
      </w:hyperlink>
      <w:r>
        <w:t xml:space="preserve">.</w:t>
      </w:r>
    </w:p>
    <w:p>
      <w:pPr>
        <w:numPr>
          <w:ilvl w:val="0"/>
          <w:numId w:val="1001"/>
        </w:numPr>
      </w:pPr>
      <w:r>
        <w:t xml:space="preserve">Minozzi S, Cinquini M, Gianola S, et al. The revised Cochrane risk of bias tool for randomized trials (RoB 2) showed low interrater reliability and challenges in its application.</w:t>
      </w:r>
      <w:r>
        <w:t xml:space="preserve"> </w:t>
      </w:r>
      <w:r>
        <w:rPr>
          <w:i/>
          <w:iCs/>
        </w:rPr>
        <w:t xml:space="preserve">J Clin Epidemiol</w:t>
      </w:r>
      <w:r>
        <w:t xml:space="preserve"> </w:t>
      </w:r>
      <w:r>
        <w:t xml:space="preserve">2020;126:37–44. doi:</w:t>
      </w:r>
      <w:hyperlink r:id="rId39">
        <w:r>
          <w:rPr>
            <w:rStyle w:val="Hyperlink"/>
          </w:rPr>
          <w:t xml:space="preserve">10.1016/j.jclinepi.2020.06.015</w:t>
        </w:r>
      </w:hyperlink>
      <w:r>
        <w:t xml:space="preserve">.</w:t>
      </w:r>
    </w:p>
    <w:p>
      <w:pPr>
        <w:numPr>
          <w:ilvl w:val="0"/>
          <w:numId w:val="1001"/>
        </w:numPr>
      </w:pPr>
      <w:r>
        <w:t xml:space="preserve">Minozzi S, Dwan K, Borrelli F, et al. Reliability of the revised Cochrane risk-of-bias tool for randomised trials (RoB2) improved with the use of implementation instruction.</w:t>
      </w:r>
      <w:r>
        <w:t xml:space="preserve"> </w:t>
      </w:r>
      <w:r>
        <w:rPr>
          <w:i/>
          <w:iCs/>
        </w:rPr>
        <w:t xml:space="preserve">J Clin Epidemiol</w:t>
      </w:r>
      <w:r>
        <w:t xml:space="preserve"> </w:t>
      </w:r>
      <w:r>
        <w:t xml:space="preserve">2022;141:99–105. doi:</w:t>
      </w:r>
      <w:hyperlink r:id="rId40">
        <w:r>
          <w:rPr>
            <w:rStyle w:val="Hyperlink"/>
          </w:rPr>
          <w:t xml:space="preserve">10.1016/j.jclinepi.2021.09.021</w:t>
        </w:r>
      </w:hyperlink>
      <w:r>
        <w:t xml:space="preserve">.</w:t>
      </w:r>
    </w:p>
    <w:p>
      <w:pPr>
        <w:numPr>
          <w:ilvl w:val="0"/>
          <w:numId w:val="1001"/>
        </w:numPr>
      </w:pPr>
      <w:r>
        <w:t xml:space="preserve">Bertizzolo L, Bossuyt P, Atal I, et al. Disagreements in risk of bias assessment for randomised controlled trials included in more than one Cochrane systematic reviews: a research on research study using cross-sectional design.</w:t>
      </w:r>
      <w:r>
        <w:t xml:space="preserve"> </w:t>
      </w:r>
      <w:r>
        <w:rPr>
          <w:i/>
          <w:iCs/>
        </w:rPr>
        <w:t xml:space="preserve">BMJ Open</w:t>
      </w:r>
      <w:r>
        <w:t xml:space="preserve"> </w:t>
      </w:r>
      <w:r>
        <w:t xml:space="preserve">2019;9:e028382. doi:</w:t>
      </w:r>
      <w:hyperlink r:id="rId41">
        <w:r>
          <w:rPr>
            <w:rStyle w:val="Hyperlink"/>
          </w:rPr>
          <w:t xml:space="preserve">10.1136/bmjopen-2018-028382</w:t>
        </w:r>
      </w:hyperlink>
      <w:r>
        <w:t xml:space="preserve">.</w:t>
      </w:r>
    </w:p>
    <w:p>
      <w:pPr>
        <w:numPr>
          <w:ilvl w:val="0"/>
          <w:numId w:val="1001"/>
        </w:numPr>
      </w:pPr>
      <w:r>
        <w:t xml:space="preserve">Marshall IJ, Kuiper J, Wallace BC. RobotReviewer: evaluation of a system for automatically assessing bias in clinical trials.</w:t>
      </w:r>
      <w:r>
        <w:t xml:space="preserve"> </w:t>
      </w:r>
      <w:r>
        <w:rPr>
          <w:i/>
          <w:iCs/>
        </w:rPr>
        <w:t xml:space="preserve">J Am Med Inform Assoc</w:t>
      </w:r>
      <w:r>
        <w:t xml:space="preserve"> </w:t>
      </w:r>
      <w:r>
        <w:t xml:space="preserve">2016;23:193–201. doi:</w:t>
      </w:r>
      <w:hyperlink r:id="rId42">
        <w:r>
          <w:rPr>
            <w:rStyle w:val="Hyperlink"/>
          </w:rPr>
          <w:t xml:space="preserve">10.1093/jamia/ocv044</w:t>
        </w:r>
      </w:hyperlink>
      <w:r>
        <w:t xml:space="preserve">.</w:t>
      </w:r>
    </w:p>
    <w:p>
      <w:pPr>
        <w:numPr>
          <w:ilvl w:val="0"/>
          <w:numId w:val="1001"/>
        </w:numPr>
      </w:pPr>
      <w:r>
        <w:t xml:space="preserve">Hevia A, Chintalapati S, Lai VKW, et al. ROBOTO2: An Interactive System and Dataset for LLM-assisted Clinical Trial Risk of Bias Assessment. In:</w:t>
      </w:r>
      <w:r>
        <w:t xml:space="preserve"> </w:t>
      </w:r>
      <w:r>
        <w:rPr>
          <w:i/>
          <w:iCs/>
        </w:rPr>
        <w:t xml:space="preserve">Proceedings of the 2025 Conference on Empirical Methods in Natural Language Processing: System Demonstrations</w:t>
      </w:r>
      <w:r>
        <w:t xml:space="preserve">. Association for Computational Linguistics, 2025:12–25. doi:</w:t>
      </w:r>
      <w:hyperlink r:id="rId43">
        <w:r>
          <w:rPr>
            <w:rStyle w:val="Hyperlink"/>
          </w:rPr>
          <w:t xml:space="preserve">10.18653/v1/2025.emnlp-demos.2</w:t>
        </w:r>
      </w:hyperlink>
      <w:r>
        <w:t xml:space="preserve">.</w:t>
      </w:r>
    </w:p>
    <w:p>
      <w:pPr>
        <w:numPr>
          <w:ilvl w:val="0"/>
          <w:numId w:val="1001"/>
        </w:numPr>
      </w:pPr>
      <w:r>
        <w:t xml:space="preserve">Gandhi S, Shokravi A, Chelliahpillai Y, et al. Evaluating large language model performance in Risk of Bias assessments: A cross-sectional validation study.</w:t>
      </w:r>
      <w:r>
        <w:t xml:space="preserve"> </w:t>
      </w:r>
      <w:r>
        <w:rPr>
          <w:i/>
          <w:iCs/>
        </w:rPr>
        <w:t xml:space="preserve">PLoS One</w:t>
      </w:r>
      <w:r>
        <w:t xml:space="preserve"> </w:t>
      </w:r>
      <w:r>
        <w:t xml:space="preserve">2026;21:e0353155. doi:</w:t>
      </w:r>
      <w:hyperlink r:id="rId44">
        <w:r>
          <w:rPr>
            <w:rStyle w:val="Hyperlink"/>
          </w:rPr>
          <w:t xml:space="preserve">10.1371/journal.pone.0353155</w:t>
        </w:r>
      </w:hyperlink>
      <w:r>
        <w:t xml:space="preserve">.</w:t>
      </w:r>
    </w:p>
    <w:p>
      <w:pPr>
        <w:numPr>
          <w:ilvl w:val="0"/>
          <w:numId w:val="1001"/>
        </w:numPr>
      </w:pPr>
      <w:r>
        <w:t xml:space="preserve">Huang J, Lai H, Zhao W, et al. Large Language Model–Assisted Risk-of-Bias Assessment in Randomized Controlled Trials Using the Revised Risk-of-Bias Tool: Evaluation Study.</w:t>
      </w:r>
      <w:r>
        <w:t xml:space="preserve"> </w:t>
      </w:r>
      <w:r>
        <w:rPr>
          <w:i/>
          <w:iCs/>
        </w:rPr>
        <w:t xml:space="preserve">J Med Internet Res</w:t>
      </w:r>
      <w:r>
        <w:t xml:space="preserve"> </w:t>
      </w:r>
      <w:r>
        <w:t xml:space="preserve">2025;27:e70450. doi:</w:t>
      </w:r>
      <w:hyperlink r:id="rId45">
        <w:r>
          <w:rPr>
            <w:rStyle w:val="Hyperlink"/>
          </w:rPr>
          <w:t xml:space="preserve">10.2196/70450</w:t>
        </w:r>
      </w:hyperlink>
      <w:r>
        <w:t xml:space="preserve">.</w:t>
      </w:r>
    </w:p>
    <w:p>
      <w:pPr>
        <w:numPr>
          <w:ilvl w:val="0"/>
          <w:numId w:val="1001"/>
        </w:numPr>
      </w:pPr>
      <w:r>
        <w:t xml:space="preserve">Xiong YT, Wang YC, Sun YN, et al. Impact of prompt engineering on large language models for risk of bias assessment: a comparative study.</w:t>
      </w:r>
      <w:r>
        <w:t xml:space="preserve"> </w:t>
      </w:r>
      <w:r>
        <w:rPr>
          <w:i/>
          <w:iCs/>
        </w:rPr>
        <w:t xml:space="preserve">BMJ Evid Based Med</w:t>
      </w:r>
      <w:r>
        <w:t xml:space="preserve"> </w:t>
      </w:r>
      <w:r>
        <w:t xml:space="preserve">2026;31:332–41. doi:</w:t>
      </w:r>
      <w:hyperlink r:id="rId46">
        <w:r>
          <w:rPr>
            <w:rStyle w:val="Hyperlink"/>
          </w:rPr>
          <w:t xml:space="preserve">10.1136/bmjebm-2025-114055</w:t>
        </w:r>
      </w:hyperlink>
      <w:r>
        <w:t xml:space="preserve">.</w:t>
      </w:r>
    </w:p>
    <w:p>
      <w:pPr>
        <w:numPr>
          <w:ilvl w:val="0"/>
          <w:numId w:val="1001"/>
        </w:numPr>
      </w:pPr>
      <w:r>
        <w:t xml:space="preserve">Nyrhi L, Ponkilainen V, Laaksonen J, et al. Large language models for risk-of-bias assessment in randomised clinical trials—a comparative validation study.</w:t>
      </w:r>
      <w:r>
        <w:t xml:space="preserve"> </w:t>
      </w:r>
      <w:r>
        <w:rPr>
          <w:i/>
          <w:iCs/>
        </w:rPr>
        <w:t xml:space="preserve">EBioMedicine</w:t>
      </w:r>
      <w:r>
        <w:t xml:space="preserve"> </w:t>
      </w:r>
      <w:r>
        <w:t xml:space="preserve">2026;126:106238. doi:</w:t>
      </w:r>
      <w:hyperlink r:id="rId47">
        <w:r>
          <w:rPr>
            <w:rStyle w:val="Hyperlink"/>
          </w:rPr>
          <w:t xml:space="preserve">10.1016/j.ebiom.2026.106238</w:t>
        </w:r>
      </w:hyperlink>
      <w:r>
        <w:t xml:space="preserve">.</w:t>
      </w:r>
    </w:p>
    <w:p>
      <w:pPr>
        <w:numPr>
          <w:ilvl w:val="0"/>
          <w:numId w:val="1001"/>
        </w:numPr>
      </w:pPr>
      <w:r>
        <w:t xml:space="preserve">Taneri PE. Human Versus Artificial Intelligence: Comparing Cochrane Authors’ and ChatGPT’s Risk of Bias Assessments.</w:t>
      </w:r>
      <w:r>
        <w:t xml:space="preserve"> </w:t>
      </w:r>
      <w:r>
        <w:rPr>
          <w:i/>
          <w:iCs/>
        </w:rPr>
        <w:t xml:space="preserve">Cochrane Evidence Synthesis and Methods</w:t>
      </w:r>
      <w:r>
        <w:t xml:space="preserve"> </w:t>
      </w:r>
      <w:r>
        <w:t xml:space="preserve">2025;3:e70044. doi:</w:t>
      </w:r>
      <w:hyperlink r:id="rId48">
        <w:r>
          <w:rPr>
            <w:rStyle w:val="Hyperlink"/>
          </w:rPr>
          <w:t xml:space="preserve">10.1002/cesm.70044</w:t>
        </w:r>
      </w:hyperlink>
      <w:r>
        <w:t xml:space="preserve">.</w:t>
      </w:r>
    </w:p>
    <w:p>
      <w:pPr>
        <w:numPr>
          <w:ilvl w:val="0"/>
          <w:numId w:val="1001"/>
        </w:numPr>
      </w:pPr>
      <w:r>
        <w:t xml:space="preserve">Lai YJ, Lin SH, Liu JW. Evaluating the Accuracy of Large Language Models in Risk-of-Bias Assessment Using Version 2 of the Cochrane Risk-of-Bias Tool for Randomized Trials: Exploratory Feasibility Study.</w:t>
      </w:r>
      <w:r>
        <w:t xml:space="preserve"> </w:t>
      </w:r>
      <w:r>
        <w:rPr>
          <w:i/>
          <w:iCs/>
        </w:rPr>
        <w:t xml:space="preserve">J Med Internet Res</w:t>
      </w:r>
      <w:r>
        <w:t xml:space="preserve"> </w:t>
      </w:r>
      <w:r>
        <w:t xml:space="preserve">2026;28:e84915. doi:</w:t>
      </w:r>
      <w:hyperlink r:id="rId49">
        <w:r>
          <w:rPr>
            <w:rStyle w:val="Hyperlink"/>
          </w:rPr>
          <w:t xml:space="preserve">10.2196/84915</w:t>
        </w:r>
      </w:hyperlink>
      <w:r>
        <w:t xml:space="preserve">.</w:t>
      </w:r>
    </w:p>
    <w:p>
      <w:pPr>
        <w:numPr>
          <w:ilvl w:val="0"/>
          <w:numId w:val="1001"/>
        </w:numPr>
      </w:pPr>
      <w:r>
        <w:t xml:space="preserve">Gartlehner G, Kugley S, Crotty K, et al. Artificial Intelligence–Assisted Data Extraction With a Large Language Model: A Study Within Reviews.</w:t>
      </w:r>
      <w:r>
        <w:t xml:space="preserve"> </w:t>
      </w:r>
      <w:r>
        <w:rPr>
          <w:i/>
          <w:iCs/>
        </w:rPr>
        <w:t xml:space="preserve">Ann Intern Med</w:t>
      </w:r>
      <w:r>
        <w:t xml:space="preserve"> </w:t>
      </w:r>
      <w:r>
        <w:t xml:space="preserve">2025;178:1763–71. doi:</w:t>
      </w:r>
      <w:hyperlink r:id="rId50">
        <w:r>
          <w:rPr>
            <w:rStyle w:val="Hyperlink"/>
          </w:rPr>
          <w:t xml:space="preserve">10.7326/ANNALS-25-00739</w:t>
        </w:r>
      </w:hyperlink>
      <w:r>
        <w:t xml:space="preserve">.</w:t>
      </w:r>
    </w:p>
    <w:p>
      <w:pPr>
        <w:numPr>
          <w:ilvl w:val="0"/>
          <w:numId w:val="1001"/>
        </w:numPr>
      </w:pPr>
      <w:r>
        <w:t xml:space="preserve">Gallifant J, Afshar M, Ameen S, et al. The TRIPOD-LLM reporting guideline for studies using large language models.</w:t>
      </w:r>
      <w:r>
        <w:t xml:space="preserve"> </w:t>
      </w:r>
      <w:r>
        <w:rPr>
          <w:i/>
          <w:iCs/>
        </w:rPr>
        <w:t xml:space="preserve">Nat Med</w:t>
      </w:r>
      <w:r>
        <w:t xml:space="preserve"> </w:t>
      </w:r>
      <w:r>
        <w:t xml:space="preserve">2025;31:60–69. doi:</w:t>
      </w:r>
      <w:hyperlink r:id="rId51">
        <w:r>
          <w:rPr>
            <w:rStyle w:val="Hyperlink"/>
          </w:rPr>
          <w:t xml:space="preserve">10.1038/s41591-024-03425-5</w:t>
        </w:r>
      </w:hyperlink>
      <w:r>
        <w:t xml:space="preserve">.</w:t>
      </w:r>
    </w:p>
    <w:p>
      <w:pPr>
        <w:numPr>
          <w:ilvl w:val="0"/>
          <w:numId w:val="1001"/>
        </w:numPr>
      </w:pPr>
      <w:r>
        <w:t xml:space="preserve">Kottner J, Audigé L, Brorson S, et al. Guidelines for Reporting Reliability and Agreement Studies (GRRAS) were proposed.</w:t>
      </w:r>
      <w:r>
        <w:t xml:space="preserve"> </w:t>
      </w:r>
      <w:r>
        <w:rPr>
          <w:i/>
          <w:iCs/>
        </w:rPr>
        <w:t xml:space="preserve">J Clin Epidemiol</w:t>
      </w:r>
      <w:r>
        <w:t xml:space="preserve"> </w:t>
      </w:r>
      <w:r>
        <w:t xml:space="preserve">2011;64:96–106. doi:</w:t>
      </w:r>
      <w:hyperlink r:id="rId52">
        <w:r>
          <w:rPr>
            <w:rStyle w:val="Hyperlink"/>
          </w:rPr>
          <w:t xml:space="preserve">10.1016/j.jclinepi.2010.03.002</w:t>
        </w:r>
      </w:hyperlink>
      <w:r>
        <w:t xml:space="preserve">.</w:t>
      </w:r>
    </w:p>
    <w:p>
      <w:pPr>
        <w:numPr>
          <w:ilvl w:val="0"/>
          <w:numId w:val="1001"/>
        </w:numPr>
      </w:pPr>
      <w:r>
        <w:t xml:space="preserve">Liang Z, Sheffield C, Butera G, Antani S. Retrieve-Then-Verify for Evaluating Evidence Support and Hallucination in Large Language Model–Generated Medical Information: Empirical Study.</w:t>
      </w:r>
      <w:r>
        <w:t xml:space="preserve"> </w:t>
      </w:r>
      <w:r>
        <w:rPr>
          <w:i/>
          <w:iCs/>
        </w:rPr>
        <w:t xml:space="preserve">JMIR AI</w:t>
      </w:r>
      <w:r>
        <w:t xml:space="preserve"> </w:t>
      </w:r>
      <w:r>
        <w:t xml:space="preserve">2026;5:e93761. doi:</w:t>
      </w:r>
      <w:hyperlink r:id="rId53">
        <w:r>
          <w:rPr>
            <w:rStyle w:val="Hyperlink"/>
          </w:rPr>
          <w:t xml:space="preserve">10.2196/93761</w:t>
        </w:r>
      </w:hyperlink>
      <w:r>
        <w:t xml:space="preserve">.</w:t>
      </w:r>
    </w:p>
    <w:p>
      <w:pPr>
        <w:numPr>
          <w:ilvl w:val="0"/>
          <w:numId w:val="1001"/>
        </w:numPr>
      </w:pPr>
      <w:r>
        <w:t xml:space="preserve">Joseph J, Vishwanath R, Sisirkumar JV. RoB2-Evaluator: Development and Technical Evaluation of a Rule-Constrained Large Language Model System for Cochrane Risk of Bias 2 Assessment.</w:t>
      </w:r>
      <w:r>
        <w:t xml:space="preserve"> </w:t>
      </w:r>
      <w:r>
        <w:rPr>
          <w:i/>
          <w:iCs/>
        </w:rPr>
        <w:t xml:space="preserve">medRxiv</w:t>
      </w:r>
      <w:r>
        <w:t xml:space="preserve"> </w:t>
      </w:r>
      <w:r>
        <w:t xml:space="preserve">[Preprint]. Posted 23 September 2026. doi:</w:t>
      </w:r>
      <w:hyperlink r:id="rId54">
        <w:r>
          <w:rPr>
            <w:rStyle w:val="Hyperlink"/>
          </w:rPr>
          <w:t xml:space="preserve">10.64898/2026.09.22.26363693</w:t>
        </w:r>
      </w:hyperlink>
      <w:r>
        <w:t xml:space="preserve">.</w:t>
      </w:r>
    </w:p>
    <w:p>
      <w:pPr>
        <w:numPr>
          <w:ilvl w:val="0"/>
          <w:numId w:val="1001"/>
        </w:numPr>
      </w:pPr>
      <w:r>
        <w:t xml:space="preserve">Choi J, Swan H, Kim MJ, et al. Variability, algorithm conformance, and accuracy of large language model–based tools for risk-of-bias (RoB 2.0) assessment of randomized trials: a pilot study.</w:t>
      </w:r>
      <w:r>
        <w:t xml:space="preserve"> </w:t>
      </w:r>
      <w:r>
        <w:rPr>
          <w:i/>
          <w:iCs/>
        </w:rPr>
        <w:t xml:space="preserve">Journal of Evidence-Based Practice</w:t>
      </w:r>
      <w:r>
        <w:t xml:space="preserve"> </w:t>
      </w:r>
      <w:r>
        <w:t xml:space="preserve">2026;2:91–97. doi:</w:t>
      </w:r>
      <w:hyperlink r:id="rId55">
        <w:r>
          <w:rPr>
            <w:rStyle w:val="Hyperlink"/>
          </w:rPr>
          <w:t xml:space="preserve">10.63528/jebp.2026.00011</w:t>
        </w:r>
      </w:hyperlink>
      <w:r>
        <w:t xml:space="preserve">.</w:t>
      </w:r>
    </w:p>
    <w:p>
      <w:pPr>
        <w:numPr>
          <w:ilvl w:val="0"/>
          <w:numId w:val="1001"/>
        </w:numPr>
      </w:pPr>
      <w:r>
        <w:t xml:space="preserve">Jardim PSJ, Rose CJ, Ames HM, et al. Automating risk of bias assessment in systematic reviews: a real-time mixed methods comparison of human researchers to a machine learning system.</w:t>
      </w:r>
      <w:r>
        <w:t xml:space="preserve"> </w:t>
      </w:r>
      <w:r>
        <w:rPr>
          <w:i/>
          <w:iCs/>
        </w:rPr>
        <w:t xml:space="preserve">BMC Med Res Methodol</w:t>
      </w:r>
      <w:r>
        <w:t xml:space="preserve"> </w:t>
      </w:r>
      <w:r>
        <w:t xml:space="preserve">2022;22:167. doi:</w:t>
      </w:r>
      <w:hyperlink r:id="rId56">
        <w:r>
          <w:rPr>
            <w:rStyle w:val="Hyperlink"/>
          </w:rPr>
          <w:t xml:space="preserve">10.1186/s12874-022-01649-y</w:t>
        </w:r>
      </w:hyperlink>
      <w:r>
        <w:t xml:space="preserve">.</w:t>
      </w:r>
    </w:p>
    <w:bookmarkEnd w:id="57"/>
    <w:bookmarkEnd w:id="58"/>
    <w:p>
      <w:bookmarkStart w:id="156" w:name="loc_97"/>
      <w:pPr>
        <w:pStyle w:val="Heading1"/>
        <w:pageBreakBefore/>
      </w:pPr>
      <w:r>
        <w:t>FIGURE LEGENDS</w:t>
      </w:r>
      <w:bookmarkEnd w:id="156"/>
    </w:p>
    <w:p>
      <w:pPr>
        <w:keepNext/>
        <w:keepLines/>
        <w:pageBreakBefore w:val="0"/>
      </w:pPr>
      <w:r>
        <w:t>Figure 1. ARBITER splits the work: an AI model reads and answers; rule-based software checks quotes, applies RoB 2 rules and records everything. Lanes show the reviewer, AI model, ARBITER server and audit file across capture, approval, domain assessment and export. Plain labels show actions; gray text names the underlying tool calls. The reviewer receives the HTML report and audit file, both checkable by an independent verifier. RoB 2 is the Cochrane risk-of-bias tool for randomised trials.</w:t>
      </w:r>
    </w:p>
    <w:p>
      <w:pPr>
        <w:keepLines/>
      </w:pPr>
      <w:r>
        <w:t>Alt text: The reviewer chooses a trial and outcome and approves the result to assess. The AI model reads reports, selects evidence and answers questions. ARBITER stores source records, checks quotes and applies the RoB 2 rules. The reviewer receives an HTML assessment report and an audit file containing sources, quotes, answers and decisions; both can be checked by an independent verifier.</w:t>
      </w:r>
    </w:p>
    <w:p>
      <w:pPr>
        <w:keepNext/>
        <w:keepLines/>
        <w:pageBreakBefore/>
      </w:pPr>
      <w:r>
        <w:t>Figure 2. Each answer is tied to stored sources, and RoB 2 rules compute the rating across every domain. AVATAR compares early surgery with watchful waiting in asymptomatic severe aortic stenosis; the outcome is all-cause death. This trial was chosen to illustrate the process, not as representative. Rows link paraphrased questions, source excerpts, AI answers, software checks and domain ratings. Letter/page tabs identify sources; “Weighed against” and “Open point” give counter-evidence and unknowns. A missing dated analysis plan leads to Some concerns overall. Full answers and official question wording appear in the AVATAR complete trace in the supplement. Y, yes; PY, probably yes; PN, probably no; N, no; NI, no information.</w:t>
      </w:r>
    </w:p>
    <w:p>
      <w:pPr>
        <w:keepLines/>
      </w:pPr>
      <w:r>
        <w:t>Alt text: AVATAR's five risk-of-bias domains connect source excerpts to the AI model's answers and the ratings computed by ARBITER. Four domains are Low. For selection of the reported result, the stored sources do not establish a dated plan for this analysis. The model answers No information, and the RoB 2 rules yield Some concerns for that domain and overall. Counter-evidence and unresolved questions remain visible alongside the answers.</w:t>
      </w:r>
    </w:p>
    <w:p>
      <w:pPr>
        <w:keepNext/>
        <w:keepLines/>
        <w:pageBreakBefore/>
      </w:pPr>
      <w:r>
        <w:t>Figure 3. Paired evaluation and conditional primary endpoint. Both arms assessed the same 102 trials using the same Sonnet model and supplied documents. Two experts independently recorded ratings and signalling answers for all 510 trial-domain cells before viewing labels. In a separate stage, each chose among three labels presented in random order without rationales. The primary endpoint uses 60 agreed choices from 80 arm-discordant cells; 20 split choices enter sensitivities. The all-cell expert comparisons are not restricted to that conditional population. Counts are trials or cells as indicated; no interval applies.</w:t>
      </w:r>
    </w:p>
    <w:p>
      <w:pPr>
        <w:keepLines/>
      </w:pPr>
      <w:r>
        <w:t>Alt text: Paired evaluation of 102 trials and 510 cells against two independent experts. A separate conditional branch contains 80 arm-discordant cells, 60 agreed choices and 20 splits.</w:t>
      </w:r>
    </w:p>
    <w:p>
      <w:pPr>
        <w:keepNext/>
        <w:keepLines/>
        <w:pageBreakBefore/>
      </w:pPr>
      <w:r>
        <w:t>Figure 4. Absolute and paired domain agreement with each independent expert. Blue circles denote ARBITER and orange squares Unassisted. Left panels show exact agreement with 95% intervals on a 0–100% scale; right panels show paired ARBITER minus Unassisted differences in percentage points, with neutral diamonds and zero lines. Each expert contributes 510 pooled cells and 102 per domain. Expert-to-expert agreement is 388/510 (76.1%; weighted κ 0.59), context rather than a performance ceiling. The compact Published comparison retains all 510 cells. D1: randomisation process; D2: deviations from intended interventions; D3: missing outcome data; D4: outcome measurement; D5: selection of the reported result. Overall is supplementary. CI, 95% confidence interval; 10,000 percentile bootstrap replicates, trials resampled within meta-analysis; seed 20261018.</w:t>
      </w:r>
    </w:p>
    <w:p>
      <w:pPr>
        <w:keepLines/>
      </w:pPr>
      <w:r>
        <w:t>Alt text: Exact agreement and paired gains against each expert, pooled and by domain. Both pooled gains favor ARBITER; D5 gains are largest and D3 depends strongly on the expert reference. The full-cohort Published comparison is shown separately.</w:t>
      </w:r>
    </w:p>
    <w:p>
      <w:pPr>
        <w:keepNext/>
        <w:keepLines/>
        <w:pageBreakBefore/>
      </w:pPr>
      <w:r>
        <w:t>Figure 5. Paired signalling-answer diagnostics. Rows cover all five domains against each expert; n is the number of question components evaluable in both arms. Diamonds and bars show ARBITER minus Unassisted exact agreement and 95% intervals. Five-level matching distinguishes yes, probably yes, no, probably no and no information. Collapsed matching combines yes/probably yes and no/probably no, leaving no information separate. These are different estimands. D1: randomisation process; D2: deviations from intended interventions; D3: missing outcome data; D4: outcome measurement; D5: selection of the reported result. D3 and D5 illustrate reference dependence and the effect of coding; the complete question-level results, including sparse and unfavorable comparisons, are in eFigures 2 and 5. Source-specific absolute rates appear separately in eFigure 4. CI, 95% confidence interval; 10,000 percentile bootstrap replicates, trials resampled within meta-analysis; seed 20261018.</w:t>
      </w:r>
    </w:p>
    <w:p>
      <w:pPr>
        <w:keepLines/>
      </w:pPr>
      <w:r>
        <w:t>Alt text: Paired signalling-answer differences by domain and expert, separating five-level and collapsed coding. D3 changes direction with coding against Expert 1; D5 collapsed gains are smaller against Expert 2.</w:t>
      </w:r>
    </w:p>
    <w:sectPr>
      <w:footerReference w:type="default" r:id="rId9"/>
      <w:footnotePr>
        <w:numRestart w:val="eachSect"/>
      </w:footnotePr>
      <w:pgMar w:top="1080" w:bottom="1080"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Arial" w:hAnsi="Arial"/>
      <w:color w:val="000000"/>
      <w:sz w:val="22"/>
    </w:rPr>
  </w:style>
  <w:style w:styleId="BodyText" w:type="paragraph">
    <w:name w:val="Body Text"/>
    <w:basedOn w:val="Normal"/>
    <w:link w:val="BodyTextChar"/>
    <w:qFormat/>
    <w:pPr>
      <w:spacing w:after="0" w:before="180" w:line="480" w:lineRule="auto"/>
    </w:pPr>
    <w:rPr>
      <w:rFonts w:ascii="Arial" w:hAnsi="Arial"/>
      <w:color w:val="000000"/>
      <w:sz w:val="22"/>
    </w:rPr>
  </w:style>
  <w:style w:customStyle="1" w:styleId="FirstParagraph" w:type="paragraph">
    <w:name w:val="First Paragraph"/>
    <w:basedOn w:val="BodyText"/>
    <w:next w:val="BodyText"/>
    <w:qFormat/>
    <w:pPr>
      <w:spacing w:line="480" w:lineRule="auto" w:after="0"/>
    </w:pPr>
    <w:rPr>
      <w:rFonts w:ascii="Arial" w:hAnsi="Arial"/>
      <w:color w:val="000000"/>
      <w:sz w:val="22"/>
    </w:rPr>
  </w:style>
  <w:style w:customStyle="1" w:styleId="Compact" w:type="paragraph">
    <w:name w:val="Compact"/>
    <w:basedOn w:val="BodyText"/>
    <w:qFormat/>
    <w:pPr>
      <w:spacing w:after="0" w:before="36" w:line="480" w:lineRule="auto"/>
    </w:pPr>
    <w:rPr>
      <w:rFonts w:ascii="Arial" w:hAnsi="Arial"/>
      <w:color w:val="000000"/>
      <w:sz w:val="22"/>
    </w:rPr>
  </w:style>
  <w:style w:styleId="Title" w:type="paragraph">
    <w:name w:val="Title"/>
    <w:basedOn w:val="Normal"/>
    <w:next w:val="BodyText"/>
    <w:link w:val="TitleChar"/>
    <w:uiPriority w:val="10"/>
    <w:qFormat/>
    <w:rsid w:val="00A10FD9"/>
    <w:pPr>
      <w:spacing w:after="0" w:line="480" w:lineRule="auto"/>
      <w:contextualSpacing/>
      <w:jc w:val="center"/>
    </w:pPr>
    <w:rPr>
      <w:rFonts w:cstheme="majorBidi" w:ascii="Arial" w:hAnsi="Arial"/>
      <w:color w:val="000000"/>
      <w:sz w:val="2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after="0"/>
    </w:pPr>
    <w:rPr>
      <w:rFonts w:cstheme="majorBidi" w:ascii="Arial" w:hAnsi="Arial"/>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after="0"/>
    </w:pPr>
    <w:rPr>
      <w:rFonts w:ascii="Arial" w:hAnsi="Arial"/>
      <w:color w:val="000000"/>
      <w:sz w:val="22"/>
      <w:szCs w:val="24"/>
    </w:rPr>
  </w:style>
  <w:style w:styleId="Date" w:type="paragraph">
    <w:name w:val="Date"/>
    <w:basedOn w:val="Title"/>
    <w:next w:val="BodyText"/>
    <w:qFormat/>
    <w:pPr>
      <w:keepNext/>
      <w:keepLines/>
      <w:spacing w:line="480" w:lineRule="auto" w:after="0"/>
    </w:pPr>
    <w:rPr>
      <w:rFonts w:ascii="Arial" w:hAnsi="Arial"/>
      <w:color w:val="000000"/>
      <w:sz w:val="22"/>
      <w:szCs w:val="24"/>
    </w:rPr>
  </w:style>
  <w:style w:customStyle="1" w:styleId="AbstractTitle" w:type="paragraph">
    <w:name w:val="Abstract Title"/>
    <w:basedOn w:val="Normal"/>
    <w:next w:val="Abstract"/>
    <w:qFormat/>
    <w:pPr>
      <w:keepNext/>
      <w:keepLines/>
      <w:spacing w:after="0" w:before="300" w:line="480" w:lineRule="auto"/>
      <w:jc w:val="center"/>
    </w:pPr>
    <w:rPr>
      <w:rFonts w:ascii="Arial" w:hAnsi="Arial"/>
      <w:b/>
      <w:color w:val="000000"/>
      <w:sz w:val="22"/>
      <w:szCs w:val="20"/>
    </w:rPr>
  </w:style>
  <w:style w:customStyle="1" w:styleId="Abstract" w:type="paragraph">
    <w:name w:val="Abstract"/>
    <w:basedOn w:val="Normal"/>
    <w:next w:val="BodyText"/>
    <w:qFormat/>
    <w:pPr>
      <w:keepNext/>
      <w:keepLines/>
      <w:spacing w:after="0" w:before="100" w:line="480" w:lineRule="auto"/>
    </w:pPr>
    <w:rPr>
      <w:rFonts w:ascii="Arial" w:hAnsi="Arial"/>
      <w:color w:val="000000"/>
      <w:sz w:val="22"/>
      <w:szCs w:val="20"/>
    </w:rPr>
  </w:style>
  <w:style w:styleId="Bibliography" w:type="paragraph">
    <w:name w:val="Bibliography"/>
    <w:basedOn w:val="Normal"/>
    <w:next w:val="Bibliography"/>
    <w:qFormat/>
    <w:pPr>
      <w:spacing w:line="480" w:lineRule="auto" w:after="0"/>
    </w:pPr>
    <w:rPr>
      <w:rFonts w:ascii="Arial" w:hAnsi="Arial"/>
      <w:color w:val="000000"/>
      <w:sz w:val="22"/>
    </w:rPr>
  </w:style>
  <w:style w:styleId="Heading1" w:type="paragraph">
    <w:name w:val="heading 1"/>
    <w:basedOn w:val="Normal"/>
    <w:next w:val="BodyText"/>
    <w:link w:val="Heading1Char"/>
    <w:uiPriority w:val="9"/>
    <w:qFormat/>
    <w:rsid w:val="00A10FD9"/>
    <w:pPr>
      <w:keepNext/>
      <w:keepLines/>
      <w:spacing w:after="0" w:before="360" w:line="480" w:lineRule="auto"/>
      <w:outlineLvl w:val="0"/>
    </w:pPr>
    <w:rPr>
      <w:rFonts w:cstheme="majorBidi" w:ascii="Arial" w:hAnsi="Arial"/>
      <w:b/>
      <w:color w:val="000000"/>
      <w:sz w:val="22"/>
      <w:szCs w:val="40"/>
    </w:rPr>
  </w:style>
  <w:style w:styleId="Heading2" w:type="paragraph">
    <w:name w:val="heading 2"/>
    <w:basedOn w:val="Normal"/>
    <w:next w:val="BodyText"/>
    <w:link w:val="Heading2Char"/>
    <w:uiPriority w:val="9"/>
    <w:semiHidden/>
    <w:unhideWhenUsed/>
    <w:qFormat/>
    <w:rsid w:val="00A10FD9"/>
    <w:pPr>
      <w:keepNext/>
      <w:keepLines/>
      <w:spacing w:after="0" w:before="160" w:line="480" w:lineRule="auto"/>
      <w:outlineLvl w:val="1"/>
    </w:pPr>
    <w:rPr>
      <w:rFonts w:cstheme="majorBidi" w:ascii="Arial" w:hAnsi="Arial"/>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0" w:before="160" w:line="480" w:lineRule="auto"/>
      <w:outlineLvl w:val="2"/>
    </w:pPr>
    <w:rPr>
      <w:rFonts w:cstheme="majorBidi" w:ascii="Arial" w:hAnsi="Arial"/>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0" w:before="80" w:line="480" w:lineRule="auto"/>
      <w:outlineLvl w:val="3"/>
    </w:pPr>
    <w:rPr>
      <w:rFonts w:cstheme="majorBidi" w:ascii="Arial" w:hAnsi="Arial"/>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0" w:before="80" w:line="480" w:lineRule="auto"/>
      <w:outlineLvl w:val="4"/>
    </w:pPr>
    <w:rPr>
      <w:rFonts w:cstheme="majorBidi" w:ascii="Arial" w:hAnsi="Arial"/>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ascii="Arial" w:hAnsi="Arial"/>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ascii="Arial" w:hAnsi="Arial"/>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ascii="Arial" w:hAnsi="Arial"/>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ascii="Arial" w:hAnsi="Arial"/>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100" w:line="480" w:lineRule="auto"/>
      <w:ind w:firstLine="0" w:left="480" w:right="480"/>
    </w:pPr>
    <w:rPr>
      <w:rFonts w:ascii="Arial" w:hAnsi="Arial"/>
      <w:color w:val="000000"/>
      <w:sz w:val="22"/>
    </w:rPr>
  </w:style>
  <w:style w:styleId="FootnoteText" w:type="paragraph">
    <w:name w:val="Footnote Text"/>
    <w:basedOn w:val="Normal"/>
    <w:next w:val="FootnoteText"/>
    <w:uiPriority w:val="9"/>
    <w:unhideWhenUsed/>
    <w:qFormat/>
    <w:pPr>
      <w:spacing w:line="480" w:lineRule="auto" w:after="0"/>
    </w:pPr>
    <w:rPr>
      <w:rFonts w:ascii="Arial" w:hAnsi="Arial"/>
      <w:color w:val="000000"/>
      <w:sz w:val="22"/>
    </w:rPr>
  </w:style>
  <w:style w:styleId="FootnoteBlockText" w:type="paragraph">
    <w:name w:val="Footnote Block Text"/>
    <w:basedOn w:val="FootnoteText"/>
    <w:next w:val="FootnoteText"/>
    <w:uiPriority w:val="9"/>
    <w:unhideWhenUsed/>
    <w:qFormat/>
    <w:pPr>
      <w:spacing w:after="0" w:before="100" w:line="480" w:lineRule="auto"/>
      <w:ind w:firstLine="0" w:left="480" w:right="480"/>
    </w:pPr>
    <w:rPr>
      <w:rFonts w:ascii="Arial" w:hAnsi="Arial"/>
      <w:color w:val="000000"/>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Arial" w:hAnsi="Arial"/>
      <w:b/>
      <w:color w:val="000000"/>
      <w:sz w:val="22"/>
    </w:rPr>
  </w:style>
  <w:style w:customStyle="1" w:styleId="Definition" w:type="paragraph">
    <w:name w:val="Definition"/>
    <w:basedOn w:val="Normal"/>
    <w:pPr>
      <w:spacing w:line="480" w:lineRule="auto" w:after="0"/>
    </w:pPr>
    <w:rPr>
      <w:rFonts w:ascii="Arial" w:hAnsi="Arial"/>
      <w:color w:val="000000"/>
      <w:sz w:val="22"/>
    </w:rPr>
  </w:style>
  <w:style w:styleId="Caption" w:type="paragraph">
    <w:name w:val="Caption"/>
    <w:basedOn w:val="Normal"/>
    <w:link w:val="BodyTextChar"/>
    <w:pPr>
      <w:spacing w:after="0" w:before="0" w:line="480" w:lineRule="auto"/>
    </w:pPr>
    <w:rPr>
      <w:rFonts w:ascii="Arial" w:hAnsi="Arial"/>
      <w:i/>
      <w:color w:val="000000"/>
      <w:sz w:val="22"/>
    </w:rPr>
  </w:style>
  <w:style w:customStyle="1" w:styleId="TableCaption" w:type="paragraph">
    <w:name w:val="Table Caption"/>
    <w:basedOn w:val="Caption"/>
    <w:pPr>
      <w:keepNext/>
      <w:spacing w:line="480" w:lineRule="auto" w:after="0"/>
    </w:pPr>
    <w:rPr>
      <w:rFonts w:ascii="Arial" w:hAnsi="Arial"/>
      <w:color w:val="000000"/>
      <w:sz w:val="22"/>
    </w:rPr>
  </w:style>
  <w:style w:customStyle="1" w:styleId="ImageCaption" w:type="paragraph">
    <w:name w:val="Image Caption"/>
    <w:basedOn w:val="Caption"/>
    <w:pPr>
      <w:spacing w:line="480" w:lineRule="auto" w:after="0"/>
    </w:pPr>
    <w:rPr>
      <w:rFonts w:ascii="Arial" w:hAnsi="Arial"/>
      <w:color w:val="000000"/>
      <w:sz w:val="22"/>
    </w:rPr>
  </w:style>
  <w:style w:customStyle="1" w:styleId="Figure" w:type="paragraph">
    <w:name w:val="Figure"/>
    <w:basedOn w:val="Normal"/>
    <w:pPr>
      <w:spacing w:line="480" w:lineRule="auto" w:after="0"/>
    </w:pPr>
    <w:rPr>
      <w:rFonts w:ascii="Arial" w:hAnsi="Arial"/>
      <w:color w:val="000000"/>
      <w:sz w:val="22"/>
    </w:rPr>
  </w:style>
  <w:style w:customStyle="1" w:styleId="CaptionedFigure" w:type="paragraph">
    <w:name w:val="Captioned Figure"/>
    <w:basedOn w:val="Figure"/>
    <w:pPr>
      <w:keepNext/>
      <w:spacing w:line="480" w:lineRule="auto" w:after="0"/>
    </w:pPr>
    <w:rPr>
      <w:rFonts w:ascii="Arial" w:hAnsi="Arial"/>
      <w:color w:val="00000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after="0"/>
      <w:outlineLvl w:val="9"/>
    </w:pPr>
    <w:rPr>
      <w:rFonts w:cstheme="majorBidi" w:ascii="Arial" w:hAnsi="Arial"/>
      <w:b w:val="0"/>
      <w:bCs w:val="0"/>
      <w:color w:val="000000"/>
      <w:sz w:val="22"/>
    </w:rPr>
  </w:style>
  <w:style w:type="paragraph" w:customStyle="1" w:styleId="SourceCode">
    <w:name w:val="Source Code"/>
    <w:basedOn w:val="Normal"/>
    <w:link w:val="VerbatimChar"/>
    <w:pPr>
      <w:wordWrap w:val="off"/>
      <w:spacing w:line="480" w:lineRule="auto" w:after="0"/>
    </w:pPr>
    <w:rPr>
      <w:rFonts w:ascii="Arial" w:hAnsi="Arial"/>
      <w:color w:val="000000"/>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alisalman-et-al.github.io/arbiter-JAMIA/results.html" TargetMode="External"/><Relationship Id="rId35" Type="http://schemas.openxmlformats.org/officeDocument/2006/relationships/hyperlink" Target="https://alisalman-et-al.github.io/arbiter-JAMIA/supplement.html" TargetMode="External"/><Relationship Id="rId48" Type="http://schemas.openxmlformats.org/officeDocument/2006/relationships/hyperlink" Target="https://doi.org/10.1002/cesm.70044" TargetMode="External"/><Relationship Id="rId47" Type="http://schemas.openxmlformats.org/officeDocument/2006/relationships/hyperlink" Target="https://doi.org/10.1016/j.ebiom.2026.106238" TargetMode="External"/><Relationship Id="rId52" Type="http://schemas.openxmlformats.org/officeDocument/2006/relationships/hyperlink" Target="https://doi.org/10.1016/j.jclinepi.2010.03.002" TargetMode="External"/><Relationship Id="rId39" Type="http://schemas.openxmlformats.org/officeDocument/2006/relationships/hyperlink" Target="https://doi.org/10.1016/j.jclinepi.2020.06.015" TargetMode="External"/><Relationship Id="rId40" Type="http://schemas.openxmlformats.org/officeDocument/2006/relationships/hyperlink" Target="https://doi.org/10.1016/j.jclinepi.2021.09.021" TargetMode="External"/><Relationship Id="rId51" Type="http://schemas.openxmlformats.org/officeDocument/2006/relationships/hyperlink" Target="https://doi.org/10.1038/s41591-024-03425-5" TargetMode="External"/><Relationship Id="rId42" Type="http://schemas.openxmlformats.org/officeDocument/2006/relationships/hyperlink" Target="https://doi.org/10.1093/jamia/ocv044" TargetMode="External"/><Relationship Id="rId38" Type="http://schemas.openxmlformats.org/officeDocument/2006/relationships/hyperlink" Target="https://doi.org/10.1136/bmj.l4898" TargetMode="External"/><Relationship Id="rId46" Type="http://schemas.openxmlformats.org/officeDocument/2006/relationships/hyperlink" Target="https://doi.org/10.1136/bmjebm-2025-114055" TargetMode="External"/><Relationship Id="rId41" Type="http://schemas.openxmlformats.org/officeDocument/2006/relationships/hyperlink" Target="https://doi.org/10.1136/bmjopen-2018-028382" TargetMode="External"/><Relationship Id="rId56" Type="http://schemas.openxmlformats.org/officeDocument/2006/relationships/hyperlink" Target="https://doi.org/10.1186/s12874-022-01649-y" TargetMode="External"/><Relationship Id="rId44" Type="http://schemas.openxmlformats.org/officeDocument/2006/relationships/hyperlink" Target="https://doi.org/10.1371/journal.pone.0353155" TargetMode="External"/><Relationship Id="rId43" Type="http://schemas.openxmlformats.org/officeDocument/2006/relationships/hyperlink" Target="https://doi.org/10.18653/v1/2025.emnlp-demos.2" TargetMode="External"/><Relationship Id="rId45" Type="http://schemas.openxmlformats.org/officeDocument/2006/relationships/hyperlink" Target="https://doi.org/10.2196/70450" TargetMode="External"/><Relationship Id="rId49" Type="http://schemas.openxmlformats.org/officeDocument/2006/relationships/hyperlink" Target="https://doi.org/10.2196/84915" TargetMode="External"/><Relationship Id="rId53" Type="http://schemas.openxmlformats.org/officeDocument/2006/relationships/hyperlink" Target="https://doi.org/10.2196/93761" TargetMode="External"/><Relationship Id="rId55" Type="http://schemas.openxmlformats.org/officeDocument/2006/relationships/hyperlink" Target="https://doi.org/10.63528/jebp.2026.00011" TargetMode="External"/><Relationship Id="rId54" Type="http://schemas.openxmlformats.org/officeDocument/2006/relationships/hyperlink" Target="https://doi.org/10.64898/2026.09.22.26363693" TargetMode="External"/><Relationship Id="rId50" Type="http://schemas.openxmlformats.org/officeDocument/2006/relationships/hyperlink" Target="https://doi.org/10.7326/ANNALS-25-00739" TargetMode="External"/><Relationship Id="rId19" Type="http://schemas.openxmlformats.org/officeDocument/2006/relationships/hyperlink" Target="https://github.com/AliSalman-et-al/ARBITER/tree/2f549ae30f056ff441ea61a04b719968716f2219" TargetMode="External"/><Relationship Id="rId33" Type="http://schemas.openxmlformats.org/officeDocument/2006/relationships/hyperlink" Target="https://github.com/AliSalman-et-al/arbiter-JAMIA"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4" Type="http://schemas.openxmlformats.org/officeDocument/2006/relationships/hyperlink" Target="https://alisalman-et-al.github.io/arbiter-JAMIA/results.html" TargetMode="External"/><Relationship Id="rId35" Type="http://schemas.openxmlformats.org/officeDocument/2006/relationships/hyperlink" Target="https://alisalman-et-al.github.io/arbiter-JAMIA/supplement.html" TargetMode="External"/><Relationship Id="rId48" Type="http://schemas.openxmlformats.org/officeDocument/2006/relationships/hyperlink" Target="https://doi.org/10.1002/cesm.70044" TargetMode="External"/><Relationship Id="rId47" Type="http://schemas.openxmlformats.org/officeDocument/2006/relationships/hyperlink" Target="https://doi.org/10.1016/j.ebiom.2026.106238" TargetMode="External"/><Relationship Id="rId52" Type="http://schemas.openxmlformats.org/officeDocument/2006/relationships/hyperlink" Target="https://doi.org/10.1016/j.jclinepi.2010.03.002" TargetMode="External"/><Relationship Id="rId39" Type="http://schemas.openxmlformats.org/officeDocument/2006/relationships/hyperlink" Target="https://doi.org/10.1016/j.jclinepi.2020.06.015" TargetMode="External"/><Relationship Id="rId40" Type="http://schemas.openxmlformats.org/officeDocument/2006/relationships/hyperlink" Target="https://doi.org/10.1016/j.jclinepi.2021.09.021" TargetMode="External"/><Relationship Id="rId51" Type="http://schemas.openxmlformats.org/officeDocument/2006/relationships/hyperlink" Target="https://doi.org/10.1038/s41591-024-03425-5" TargetMode="External"/><Relationship Id="rId42" Type="http://schemas.openxmlformats.org/officeDocument/2006/relationships/hyperlink" Target="https://doi.org/10.1093/jamia/ocv044" TargetMode="External"/><Relationship Id="rId38" Type="http://schemas.openxmlformats.org/officeDocument/2006/relationships/hyperlink" Target="https://doi.org/10.1136/bmj.l4898" TargetMode="External"/><Relationship Id="rId46" Type="http://schemas.openxmlformats.org/officeDocument/2006/relationships/hyperlink" Target="https://doi.org/10.1136/bmjebm-2025-114055" TargetMode="External"/><Relationship Id="rId41" Type="http://schemas.openxmlformats.org/officeDocument/2006/relationships/hyperlink" Target="https://doi.org/10.1136/bmjopen-2018-028382" TargetMode="External"/><Relationship Id="rId56" Type="http://schemas.openxmlformats.org/officeDocument/2006/relationships/hyperlink" Target="https://doi.org/10.1186/s12874-022-01649-y" TargetMode="External"/><Relationship Id="rId44" Type="http://schemas.openxmlformats.org/officeDocument/2006/relationships/hyperlink" Target="https://doi.org/10.1371/journal.pone.0353155" TargetMode="External"/><Relationship Id="rId43" Type="http://schemas.openxmlformats.org/officeDocument/2006/relationships/hyperlink" Target="https://doi.org/10.18653/v1/2025.emnlp-demos.2" TargetMode="External"/><Relationship Id="rId45" Type="http://schemas.openxmlformats.org/officeDocument/2006/relationships/hyperlink" Target="https://doi.org/10.2196/70450" TargetMode="External"/><Relationship Id="rId49" Type="http://schemas.openxmlformats.org/officeDocument/2006/relationships/hyperlink" Target="https://doi.org/10.2196/84915" TargetMode="External"/><Relationship Id="rId53" Type="http://schemas.openxmlformats.org/officeDocument/2006/relationships/hyperlink" Target="https://doi.org/10.2196/93761" TargetMode="External"/><Relationship Id="rId55" Type="http://schemas.openxmlformats.org/officeDocument/2006/relationships/hyperlink" Target="https://doi.org/10.63528/jebp.2026.00011" TargetMode="External"/><Relationship Id="rId54" Type="http://schemas.openxmlformats.org/officeDocument/2006/relationships/hyperlink" Target="https://doi.org/10.64898/2026.09.22.26363693" TargetMode="External"/><Relationship Id="rId50" Type="http://schemas.openxmlformats.org/officeDocument/2006/relationships/hyperlink" Target="https://doi.org/10.7326/ANNALS-25-00739" TargetMode="External"/><Relationship Id="rId19" Type="http://schemas.openxmlformats.org/officeDocument/2006/relationships/hyperlink" Target="https://github.com/AliSalman-et-al/ARBITER/tree/2f549ae30f056ff441ea61a04b719968716f2219" TargetMode="External"/><Relationship Id="rId33" Type="http://schemas.openxmlformats.org/officeDocument/2006/relationships/hyperlink" Target="https://github.com/AliSalman-et-al/arbiter-JAM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2026-10-23T09:34:23Z</dcterms:created>
  <dcterms:modified xsi:type="dcterms:W3CDTF">2026-10-23T09:34:23Z</dcterms:modified>
</cp:coreProperties>
</file>

<file path=docProps/custom.xml><?xml version="1.0" encoding="utf-8"?>
<Properties xmlns="http://schemas.openxmlformats.org/officeDocument/2006/custom-properties" xmlns:vt="http://schemas.openxmlformats.org/officeDocument/2006/docPropsVTypes"/>
</file>