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Benchmark 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2"/>
        <w:gridCol w:w="1699"/>
        <w:gridCol w:w="619"/>
        <w:gridCol w:w="2808"/>
        <w:gridCol w:w="662"/>
        <w:gridCol w:w="1469"/>
        <w:gridCol w:w="965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 D1–D5 labels, Low / SC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Overall given indicates whether published Overall labels are available; total is labelled trials/all trials. The analysis excludes three unsupported-design trials from all arms. Metadata are curated from the source meta-analyses.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2026-10-18T18:00:46Z</dcterms:modified>
  <cp:category/>
</cp:coreProperties>
</file>