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Reliability of the reference standard (95% CI)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88"/>
        <w:gridCol w:w="1992"/>
        <w:gridCol w:w="1992"/>
        <w:gridCol w:w="1992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(0.61–0.77)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Preferred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(0.77–0.89)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(78.6–88.9)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(−0.18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(0.57–0.74)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(0.18–0.38)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(38.1–51.6)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(0.73–0.85)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(0.37–0.53)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(42.2–56.5)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Gwet’s AC2; raw agreement as n/N (%) with CI bounds in %.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2026-10-18T18:00:48Z</dcterms:modified>
  <cp:category/>
</cp:coreProperties>
</file>