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methods and results</w:t>
      </w:r>
    </w:p>
    <w:p>
      <w:pPr>
        <w:pStyle w:val="ManuscriptBody"/>
      </w:pPr>
      <w:r>
        <w:t xml:space="preserve">Two independent expert references support the assessment of all trial domains. Tables follow the expected order of citation. All estimates are generated from the accompanying CSV files.</w:t>
      </w:r>
    </w:p>
    <w:p>
      <w:pPr>
        <w:pStyle w:val="ManuscriptBody"/>
      </w:pPr>
      <w:r>
        <w:t xml:space="preserve">eTable 1 Confusion matrices against each independent expert</w:t>
      </w:r>
    </w:p>
    <w:p>
      <w:pPr>
        <w:pStyle w:val="ManuscriptBody"/>
      </w:pPr>
      <w:r>
        <w:t xml:space="preserve">eTable 2 Full independent agreement and paired contrasts</w:t>
      </w:r>
    </w:p>
    <w:p>
      <w:pPr>
        <w:pStyle w:val="ManuscriptBody"/>
      </w:pPr>
      <w:r>
        <w:t xml:space="preserve">eTable 3 Forced choice on disputed cells</w:t>
      </w:r>
    </w:p>
    <w:p>
      <w:pPr>
        <w:pStyle w:val="ManuscriptBody"/>
      </w:pPr>
      <w:r>
        <w:t xml:space="preserve">eTable 4 Revised ratings and retained or changed answers</w:t>
      </w:r>
    </w:p>
    <w:p>
      <w:pPr>
        <w:pStyle w:val="ManuscriptBody"/>
      </w:pPr>
      <w:r>
        <w:t xml:space="preserve">eTable 5 Full signalling question agreement</w:t>
      </w:r>
    </w:p>
    <w:p>
      <w:pPr>
        <w:pStyle w:val="ManuscriptBody"/>
      </w:pPr>
      <w:r>
        <w:t xml:space="preserve">eTable 6 Rules only recomputation</w:t>
      </w:r>
    </w:p>
    <w:p>
      <w:pPr>
        <w:pStyle w:val="ManuscriptBody"/>
      </w:pPr>
      <w:r>
        <w:t xml:space="preserve">eTable 7 Agreed reference and paired contrasts</w:t>
      </w:r>
    </w:p>
    <w:p>
      <w:pPr>
        <w:pStyle w:val="ManuscriptBody"/>
      </w:pPr>
      <w:r>
        <w:t xml:space="preserve">eTable 8 Expert reliability</w:t>
      </w:r>
    </w:p>
    <w:p>
      <w:pPr>
        <w:pStyle w:val="ManuscriptBody"/>
      </w:pPr>
      <w:r>
        <w:t xml:space="preserve">eTable 9 Direction of disagreement against independent experts</w:t>
      </w:r>
    </w:p>
    <w:p>
      <w:pPr>
        <w:pStyle w:val="ManuscriptBody"/>
      </w:pPr>
      <w:r>
        <w:t xml:space="preserve">eTable 10 Primary endpoint sensitivities and post hoc strata</w:t>
      </w:r>
    </w:p>
    <w:p>
      <w:pPr>
        <w:pStyle w:val="ManuscriptBody"/>
      </w:pPr>
      <w:r>
        <w:t xml:space="preserve">eTable 11 Benchmark trials</w:t>
      </w:r>
    </w:p>
    <w:p>
      <w:pPr>
        <w:pStyle w:val="ManuscriptBody"/>
      </w:pPr>
      <w:r>
        <w:t xml:space="preserve">eTable 12 Published label agreement</w:t>
      </w:r>
    </w:p>
    <w:p>
      <w:pPr>
        <w:pStyle w:val="ManuscriptBody"/>
      </w:pPr>
      <w:r>
        <w:t xml:space="preserve">eTable 13 Unweighted agreement with published labels</w:t>
      </w:r>
    </w:p>
    <w:p>
      <w:pPr>
        <w:pStyle w:val="ManuscriptBody"/>
      </w:pPr>
      <w:r>
        <w:t xml:space="preserve">eTable 14 Rule consistency and audit</w:t>
      </w:r>
    </w:p>
    <w:p>
      <w:pPr>
        <w:pStyle w:val="ManuscriptBody"/>
      </w:pPr>
      <w:r>
        <w:t xml:space="preserve">eTable 15 Invalid answer path sensitivity</w:t>
      </w:r>
    </w:p>
    <w:p>
      <w:pPr>
        <w:pStyle w:val="ManuscriptBody"/>
      </w:pPr>
      <w:r>
        <w:t xml:space="preserve">eTable 16 Time cost and token use</w:t>
      </w:r>
    </w:p>
    <w:p>
      <w:pPr>
        <w:pStyle w:val="ManuscriptBody"/>
      </w:pPr>
      <w:r>
        <w:t xml:space="preserve">eTable 17 API cost estimates and reconstruction bounds</w:t>
      </w:r>
    </w:p>
    <w:p>
      <w:pPr>
        <w:pStyle w:val="ManuscriptBody"/>
      </w:pPr>
      <w:r>
        <w:t xml:space="preserve">eTable 18 Token reconciliation</w:t>
      </w:r>
    </w:p>
    <w:p>
      <w:pPr>
        <w:pStyle w:val="ManuscriptBody"/>
      </w:pPr>
      <w:r>
        <w:t xml:space="preserve">eTable 19 Evidence binding</w:t>
      </w:r>
    </w:p>
    <w:p>
      <w:pPr>
        <w:pStyle w:val="ManuscriptBody"/>
      </w:pPr>
      <w:r>
        <w:t xml:space="preserve">eTable 20 Derived Overall validation differences</w:t>
      </w:r>
    </w:p>
    <w:p>
      <w:pPr>
        <w:pStyle w:val="ManuscriptBody"/>
      </w:pPr>
      <w:r>
        <w:t xml:space="preserve">eTable 21 Evidence and quotation locations for the prior-work comparison</w:t>
      </w:r>
    </w:p>
    <w:p>
      <w:pPr/>
      <w:r>
        <w:br w:type="page"/>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r>
        <w:br w:type="page"/>
      </w:r>
    </w:p>
    <w:p>
      <w:pPr>
        <w:pStyle w:val="Titre2"/>
      </w:pPr>
      <w:r>
        <w:t xml:space="preserve">Inference</w:t>
      </w:r>
    </w:p>
    <w:p>
      <w:pPr>
        <w:pStyle w:val="ManuscriptBody"/>
      </w:pPr>
      <w:r>
        <w:t xml:space="preserve">All confidence intervals use stratified trial-cluster resampling within meta-analysis, 10000 replicates, percentile intervals and seed 20261018. Paired comparisons share weights. No p-values are used.</w:t>
      </w:r>
    </w:p>
    <w:p>
      <w:pPr>
        <w:pStyle w:val="Titre2"/>
      </w:pPr>
      <w:r>
        <w:t xml:space="preserve">Blinded expert assessment</w:t>
      </w:r>
    </w:p>
    <w:p>
      <w:pPr>
        <w:pStyle w:val="ManuscriptBody"/>
      </w:pPr>
      <w:r>
        <w:t xml:space="preserve">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primary estimate uses arm disagreements with equal choices. Revised ratings are descriptive.</w:t>
      </w:r>
    </w:p>
    <w:p>
      <w:pPr>
        <w:pStyle w:val="Titre2"/>
      </w:pPr>
      <w:r>
        <w:t xml:space="preserve">Independent reference and Overall</w:t>
      </w:r>
    </w:p>
    <w:p>
      <w:pPr>
        <w:pStyle w:val="ManuscriptBody"/>
      </w:pPr>
      <w:r>
        <w:t xml:space="preserve">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published reviews gave no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pPr/>
      <w:r>
        <w:br w:type="page"/>
      </w:r>
    </w:p>
    <w:p>
      <w:pPr>
        <w:pStyle w:val="Titre2"/>
      </w:pPr>
      <w:r>
        <w:t xml:space="preserve">Signalling question mapping and eligibility</w:t>
      </w:r>
    </w:p>
    <w:p>
      <w:pPr>
        <w:pStyle w:val="ManuscriptBody"/>
      </w:pPr>
      <w:r>
        <w:t xml:space="preserve">The ARBITER semantic question identifiers map one-to-one to the official numbered questions (eTable 5); Unassisted numeric identifiers already match the experts.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w:t>
      </w:r>
    </w:p>
    <w:p>
      <w:pPr>
        <w:pStyle w:val="Titre2"/>
      </w:pPr>
      <w:r>
        <w:t xml:space="preserve">Input parity and label targets</w:t>
      </w:r>
    </w:p>
    <w:p>
      <w:pPr>
        <w:pStyle w:val="ManuscriptBody"/>
      </w:pPr>
      <w:r>
        <w:t xml:space="preserve">Both arms received the same supplied articles, supplements, registry records and protocol or SAP files. The De Waal registry input belongs to a different trial. Published-label target bindings can be broad, inferred or mismatched; the benchmark and label-target tables document these categories.</w:t>
      </w:r>
    </w:p>
    <w:p>
      <w:pPr>
        <w:pStyle w:val="Titre2"/>
      </w:pPr>
      <w:r>
        <w:t xml:space="preserve">Design status and limitations</w:t>
      </w:r>
    </w:p>
    <w:p>
      <w:pPr>
        <w:pStyle w:val="ManuscriptBody"/>
      </w:pPr>
      <w:r>
        <w:t xml:space="preserve">The primary estimand and stratified trial bootstrap were prespecified. All new reference analyses were defined by the authors on 21 October 2026 after adjudication data collection; strictness strata and rules-only analyses are post hoc. There are only two experts, with modest agreement, especially in D3. Experts could consult sources beyond the arms’ inputs. Forced choice among three labels may anchor choices. Overall is derived rather than rated directly. System-level attribution, no structured-prompt comparator, a single run per arm, possible training exposure, unassessed quotation support, outcome mismatch and the De Waal input error limit interpretation.</w:t>
      </w:r>
    </w:p>
    <w:p>
      <w:pPr/>
      <w:r>
        <w:br w:type="page"/>
      </w:r>
    </w:p>
    <w:p>
      <w:pPr>
        <w:pStyle w:val="Titre2"/>
      </w:pPr>
      <w:r>
        <w:t xml:space="preserve">Published-label target matching</w:t>
      </w:r>
    </w:p>
    <w:p>
      <w:pPr>
        <w:pStyle w:val="ManuscriptBody"/>
      </w:pPr>
      <w:r>
        <w:t xml:space="preserve">The benchmark label-target documentation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The benchmark documentation and per-review binding evidence support these categories (eTable 11).</w:t>
      </w:r>
    </w:p>
    <w:p>
      <w:pPr>
        <w:pStyle w:val="Titre2"/>
      </w:pPr>
      <w:r>
        <w:t xml:space="preserve">Dates and training exposure</w:t>
      </w:r>
    </w:p>
    <w:p>
      <w:pPr>
        <w:pStyle w:val="ManuscriptBody"/>
      </w:pPr>
      <w:r>
        <w:t xml:space="preserve">Trial reports span publication years 1996–2025; the 16 source reviews were published in 2025–2026. Years come from the benchmark trial summaries and trial-label years where that field is blank (eTable 11); the benchmark documentation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r>
        <w:br w:type="page"/>
      </w:r>
    </w:p>
    <w:p>
      <w:pPr>
        <w:pStyle w:val="Titre2"/>
      </w:pPr>
      <w:r>
        <w:t xml:space="preserve">eTable 1 Confusion matrices against each independent expert</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360" w:hRule="auto"/>
        </w:trPr>
        <w:tc>
          <w:tcPr>
            <w:gridSpan w:val="9"/>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 Full independent agreement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332/510 (65.1%) (62.2–68.0)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66/102 (64.7%) (57.8–71.6)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37/102 (36.3%) (28.4–44.1)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(0.19–0.52)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(46.1–61.8)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400/510 (78.4%) (75.1–81.6)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(0.45–0.60)</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 (69.1–74.4)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(85.3–96.1)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(0.56–0.87)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(87.7–95.1)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(0.64–0.86)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 (66.2–77.5)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70/102 (68.6%) (61.8–75.5)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(0.38–0.63)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52.5% (46.1–58.8)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(0.25–0.45)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(0.32–0.64)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80.4% (75.0–85.3)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(61.8–78.4)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(0.33–0.61)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(55.4–69.1)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313/388 (80.7%) (77.6–83.7)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(0.49–0.65)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87/89 (97.8%) (94.5–100.0)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(0.79–1.00)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65/81 (80.2%) (73.3–87.2)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(0.00 to 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35/54 (64.8%) (53.8–75.9)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(0.35–0.68)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74/85 (87.1%) (80.9–92.9)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(0.24–0.68)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52/79 (65.8%) (56.6–75.0)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(0.28–0.54)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388/510 (76.1%) (73.1–78.8)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Unweighted agreement with each expert</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(0.73–0.97)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(0.59–0.87)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(0.17–0.45)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(0.22–0.60)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(−0.08 to 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(0.50–0.72)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(0.04–0.16)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(0.18–0.38)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0.56 (0.39–0.71)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(0.08–0.42)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(0.13–0.43)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bl>
    <w:p>
      <w:pPr/>
      <w:r>
        <w:br w:type="page"/>
      </w:r>
    </w:p>
    <w:p>
      <w:pPr>
        <w:pStyle w:val="Titre2"/>
      </w:pPr>
      <w:r>
        <w:t xml:space="preserve">Unweighted agreement with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(0.52–0.78)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(0.10–0.20)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(0.31–0.59)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(0.46–0.72)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(0.27–0.51)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eTable 3 Forced choice on disputed cells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38/154 (24.7%)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128/154 (83.1%)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78/154 (50.6%)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41/154 (26.6%)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131/154 (85.1%)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89/154 (57.8%)</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4 Revised ratings and retained or changed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Independent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Revised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50/510 (9.8%)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16/510 (3.1%)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273/510 (53.5%)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153/510 (30.0%)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27/510 (5.3%)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2/510 (0.4%)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1/510 (0.2%)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335/510 (65.7%)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11/510 (2.2%)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120/510 (23.5%)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4.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Retained and changed signalling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Change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76/2244 (3.4%)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8/2244 (0.4%)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2160/2244 (96.3%)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53/2244 (2.4%)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1/2244 (0.0%)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2190/2244 (97.6%)</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use original workbook question rows, including mixed component changes.</w:t>
            </w:r>
          </w:p>
        </w:tc>
      </w:tr>
    </w:tbl>
    <w:p>
      <w:pPr/>
      <w:r>
        <w:br w:type="page"/>
      </w:r>
    </w:p>
    <w:p>
      <w:pPr>
        <w:pStyle w:val="Titre2"/>
      </w:pPr>
      <w:r>
        <w:t xml:space="preserve">eTable 5 Full signalling question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890/1507 (59.1%; 56.7–61.4)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1212/1507 (80.4%; 79.1–81.8)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685/1417 (48.3%; 46.2–50.5)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1062/1417 (74.9%; 73.4–76.5)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208/306 (68.0%; 63.4–72.2)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266/306 (86.9%; 84.0–89.9)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187/303 (61.7%; 56.4–67.0)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257/303 (84.8%; 81.2–88.3)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244/362 (67.4%; 62.2–72.4)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306/362 (84.5%; 81.0–87.8)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201/353 (56.9%; 51.8–62.0)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292/353 (82.7%; 79.2–86.0)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69/198 (34.8%; 29.2–40.3)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139/198 (70.2%; 65.1–74.7)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73/168 (43.5%; 37.2–49.4)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99/168 (58.9%; 51.9–65.3)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205/339 (60.5%; 55.8–65.1)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319/339 (94.1%; 92.1–96.0)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153/292 (52.4%; 48.2–56.5)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266/292 (91.1%; 88.4–93.7)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164/302 (54.3%; 50.2–58.5)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182/302 (60.3%; 56.4–64.2)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71/301 (23.6%; 19.3–28.0)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148/301 (49.2%; 45.0–53.5)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68.6–83.3)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92/101 (91.1%; 85.9–96.0)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50.5–68.3)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83.2–94.1)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48.0–63.7)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69.6–81.4)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75/101 (74.3%; 68.0–80.2)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82.4–93.1)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47/101 (46.5%; 38.0–55.0)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65.7–80.4)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53/102 (52.0%; 44.1–59.8)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81.4–91.2)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47.5–64.6)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84/100 (84.0%; 77.8–89.9)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64/99 (64.6%; 57.0–72.2)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77/99 (77.8%; 71.7–83.7)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 (41.7%; 15.4–69.2)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6/12 (50.0%; 25.0–76.9)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(33.3%; 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(44.4%; 12.5–76.9)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27/98 (27.6%; 20.2–35.1)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53.1–67.0)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39/97 (40.2%; 33.0–47.9)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50/97 (51.5%; 43.8–59.1)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6/36 (16.7%; 5.6–29.0)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34/36 (94.4%; 86.8–100.0)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17/31 (54.8%; 38.9–70.0)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23/33 (69.7%; 54.5–83.3)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32/33 (97.0%; 90.6–100.0)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17/21 (81.0%; 63.6–95.5)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 (41.9%; 25.8–59.4)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29.4–62.2)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42/101 (41.6%; 33.3–49.5)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78/101 (77.2%; 71.7–82.4)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29/101 (28.7%; 22.0–35.3)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100/101 (99.0%; 97.0–100.0)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58/100 (58.0%; 49.5–66.7)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83/100 (83.0%; 77.0–89.0)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35/68 (51.5%; 41.3–61.8)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53/68 (77.9%; 69.6–85.9)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17/25 (68.0%; 50.0–84.6)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5/16 (31.2%; 9.1–53.3)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10/16 (62.5%; 42.1–82.4)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65/101 (64.4%; 56.4–72.3)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65.3–79.0)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28.4–45.1)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48.0–64.0)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64/100 (64.0%; 56.6–71.3)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25/99 (25.3%; 18.2–32.3)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57/99 (57.6%; 50.5–64.9)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43/101 (42.6%; 35.6–49.5)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45/101 (44.6%; 37.6–51.5)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9/101 (8.9%; 4.0–14.1)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30.7–42.6)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997/1501 (66.4%; 64.1–68.6)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1365/1501 (90.9%; 89.5–92.3)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848/1414 (60.0%; 57.5–62.6)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1236/1414 (87.4%; 85.8–89.0)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235/306 (76.8%; 72.5–81.0)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298/306 (97.4%; 95.8–98.7)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207/303 (68.3%; 63.1–73.3)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283/303 (93.4%; 90.7–96.0)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272/360 (75.6%; 71.2–79.8)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320/360 (88.9%; 85.4–92.0)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217/352 (61.6%; 57.0–66.5)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310/352 (88.1%; 85.3–90.8)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104/194 (53.6%; 47.1–59.9)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175/194 (90.2%; 86.5–93.7)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87/166 (52.4%; 45.3–59.0)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133/166 (80.1%; 73.9–85.6)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198/340 (58.2%; 53.3–63.1)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321/340 (94.4%; 92.4–96.4)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171/293 (58.4%; 53.3–63.3)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271/293 (92.5%; 89.8–95.1)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188/301 (62.5%; 57.9–67.0)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251/301 (83.4%; 79.6–87.0)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166/300 (55.3%; 49.2–61.6)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239/300 (79.7%; 75.6–83.8)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 91.1–98.0)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70.6–85.3)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61/101 (60.4%; 51.5–69.3)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74/102 (72.5%; 64.7–80.4)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97/101 (96.0%; 92.2–99.0)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53/101 (52.5%; 44.4–60.8)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91/101 (90.1%; 85.1–94.9)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87.3–94.1)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85.3–92.2)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66/100 (66.0%; 58.2–73.7)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86/100 (86.0%; 79.4–92.0)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70/99 (70.7%; 63.4–77.8)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85/99 (85.9%; 80.4–91.0)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(88.9%;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(50.0%; 16.7–85.7)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 (62.5%; 25.0–100.0)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52/96 (54.2%; 45.3–62.9)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86/96 (89.6%; 84.4–94.7)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44/95 (46.3%; 38.0–54.5)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75/95 (78.9%; 72.0–85.6)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8/35 (22.9%; 10.3–36.7)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33/35 (94.3%; 86.2–100.0)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17/30 (56.7%; 40.7–71.4)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24/30 (80.0%; 66.7–92.9)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22/32 (68.8%; 53.1–82.9)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31.2–72.7)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22/31 (71.0%; 54.8–85.7)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15/20 (75.0%; 55.0–92.0)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16/20 (80.0%; 61.1–95.0)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50/102 (49.0%; 40.2–57.8)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39.2–55.9)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97.1–100.0)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63/99 (63.6%; 55.6–71.7)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83/99 (83.8%; 78.0–89.8)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36/67 (53.7%; 43.3–64.1)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56/67 (83.6%; 75.7–91.0)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15/25 (60.0%; 43.5–75.0)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5/17 (29.4%; 11.1–50.0)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(52.9%; 33.3–75.0)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55/101 (54.5%; 46.0–63.4)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63.0–79.2)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49/101 (48.5%; 39.2–57.8)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64/101 (63.4%; 54.9–71.7)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62/99 (62.6%; 55.0–70.1)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92/99 (92.9%; 88.0–97.0)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51.5–69.0)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86/98 (87.8%; 81.8–93.6)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71/101 (70.3%;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80.0–92.1)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58/101 (57.4%; 48.5–66.3)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82.2–94.0)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5.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Five-level disagreement types (eTable 5)</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 Level Disagreements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Within 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Cross Direction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evaluable answers for each source and expert. Within-direction: Y↔PY or N↔PN. Cross-direction: disagreements between Y/PY, N/PN or NI. The two counts partition five-level disagreements; N includes agreements.</w:t>
            </w:r>
          </w:p>
        </w:tc>
      </w:tr>
    </w:tbl>
    <w:p>
      <w:pPr/>
      <w:r>
        <w:br w:type="page"/>
      </w:r>
    </w:p>
    <w:p>
      <w:pPr>
        <w:pStyle w:val="Titre2"/>
      </w:pPr>
      <w:r>
        <w:t xml:space="preserve">Paired signalling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(8.1–13.9)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(3.6–6.4)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 (0.3–12.0)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(3.4–16.5)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(−1.1 to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(−17.2 to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 (3.5–13.7)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(1.4–15.9)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 (1.4–6.2)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 (24.8–36.7)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(8.2–14.6)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(−5.1 to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11.9 (2.0–22.5)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(−2.0 to 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(−5.9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(12.0–35.0)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(11.8–31.4)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(−17.3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 (−22.6 to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(2.1–14.7)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 (−63.6 to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(14.3–54.5)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19.0 (4.5–36.4)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−39.6 (−51.0 to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 (37.6–58.8)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(−3.3 to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(−1.5 to 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46.7 (13.3–76.9)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(7.1–58.3)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(16.8–38.2)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(11.0–26.0)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(21.4–41.4)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(3.0–12.1)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33.7 (26.3–41.2)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 (2.8–10.2)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 (1.9–4.7)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(3.3–14.5)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(2.0–6.3)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(−2.8 to 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(−9.9 to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(2.8–13.6)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(−9.4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(0.7–5.5)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 (−1.3 to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(−0.3 to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 to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 (7.8–28.0)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(3.0–12.9)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 (13.9–35.3)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(18.6–38.2)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(−14.3 to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(−6.2 to 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 (−4.1 to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 (4.3–17.0)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−35.7 (−59.3 to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(−4.5 to 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(0.0–30.0)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 (−38.1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(−31.8 to 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(−42.2 to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(−3.9 to 27.5)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(0.0–2.9)</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 (−3.3 to 24.6)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(−7.0 to 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 (21.4–76.9)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 (23.1–65.0)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(−5.9 to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(−1.0 to 16.0)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(−9.7 to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 (0.0–10.3)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(1.0–25.5)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4.0)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 confidence interval; 10,000 percentile bootstrap replicates, trials resampled within meta-analysis; seed 20261018.</w:t>
            </w:r>
          </w:p>
        </w:tc>
      </w:tr>
    </w:tbl>
    <w:p>
      <w:pPr/>
      <w:r>
        <w:br w:type="page"/>
      </w:r>
    </w:p>
    <w:p>
      <w:pPr>
        <w:pStyle w:val="Titre2"/>
      </w:pPr>
      <w:r>
        <w:t xml:space="preserve">Signalling comparison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6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 (6.2–21.0)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(9.7–23.3)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(3.7–13.9)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(16.1–31.6)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(0.0–6.1)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(4.6–16.0)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 (19.0–33.7)</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6. CI, confidence interval; 10,000 percentile bootstrap replicates, trials resampled within meta-analysis; seed 20261018. n = 60 for equal choices; n = 80 for expert-specific and split-sensitivity rows. Label ties credit both arms, so preference counts can overlap. SC, Some concerns; NI, no information; NA, not applicable. Counts and denominators refer to the named cells or answers.</w:t>
            </w:r>
          </w:p>
        </w:tc>
      </w:tr>
    </w:tbl>
    <w:p>
      <w:pPr/>
      <w:r>
        <w:br w:type="page"/>
      </w:r>
    </w:p>
    <w:p>
      <w:pPr>
        <w:pStyle w:val="Titre2"/>
      </w:pPr>
      <w:r>
        <w:t xml:space="preserve">Independent agreement after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324/510 (63.5%) (60.4–66.7)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(0.28–0.40)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(0.56–0.85)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(58.8–72.5)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(0.05–0.38)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40/102 (39.2%) (31.4–47.1)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(38.2–53.9)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391/510 (76.7%) (73.3–79.8)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(0.42–0.57)</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 (67.3–72.9)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(0.36–0.48)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88.2% (83.3–93.1)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(0.51–0.80)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(0.14–0.54)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72.5% (67.2–77.9)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(0.11–0.45)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(0.40–0.66)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(48.0–60.8)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(0.28–0.48)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(0.19–0.50)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(57.8–75.5)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(0.32–0.58)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56.4% (49.0–63.7)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(0.24–0.42)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307/388 (79.1%) (75.7–82.4)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84/89 (94.4%) (89.9–98.8)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(0.64–0.95)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66/81 (81.5%) (75.0–88.0)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(0.01–0.58)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37/54 (68.5%) (57.4–79.6)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(0.39–0.73)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73/85 (85.9%) (79.5–91.9)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(0.19–0.64)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47/79 (59.5%) (50.0–68.8)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(0.25–0.48)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Cells changed by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boedt-2023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bl>
    <w:p>
      <w:pPr/>
      <w:r>
        <w:br w:type="page"/>
      </w:r>
    </w:p>
    <w:p>
      <w:pPr>
        <w:pStyle w:val="Titre2"/>
      </w:pPr>
      <w:r>
        <w:t xml:space="preserve">Cells changed by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7 Agreed reference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7.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8 Expert reliability</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 (73.1–78.8)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87.3% (81.4–93.1)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79.4% (71.6–86.3)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 (46.1–60.8)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(44.1–57.8)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8. CI, confidence interval; 10,000 percentile bootstrap replicates, trials resampled within meta-analysis; seed 20261018. n = 510 for pooled D1–D5; n = 102 for each domain and derived Overall. SC, Some concerns; NI, no information; NA, not applicable. Counts and denominators refer to the named cells or answers.</w:t>
            </w:r>
          </w:p>
        </w:tc>
      </w:tr>
    </w:tbl>
    <w:p>
      <w:pPr/>
      <w:r>
        <w:br w:type="page"/>
      </w:r>
    </w:p>
    <w:p>
      <w:pPr>
        <w:pStyle w:val="Titre2"/>
      </w:pPr>
      <w:r>
        <w:t xml:space="preserve">eTable 9 Direction of disagreement against independent experts</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72.7% (65.9–79.4)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 (1.4–10.3)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73.9% (66.7–81.1)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 (9.5–22.3)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(5.2–15.4)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 (46.9–75.0)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 (17.9–44.4)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(0.0–17.2)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72.2% (58.1–86.1)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 (6.9–27.5)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 (2.9–20.5)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66.7% (57.1–75.0)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(11.6–26.7)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(6.8–23.4)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(53.6–71.4)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 (14.8–34.1)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(5.8–21.6)</w:t>
            </w:r>
          </w:p>
        </w:tc>
      </w:tr>
    </w:tbl>
    <w:p>
      <w:pPr/>
      <w:r>
        <w:br w:type="page"/>
      </w:r>
    </w:p>
    <w:p>
      <w:pPr>
        <w:pStyle w:val="Titre2"/>
      </w:pPr>
      <w:r>
        <w:t xml:space="preserve">Direction of disagreement against independent experts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41.3% (28.6–54.2)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45.7% (32.7–58.7)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(5.9–20.7)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56.5% (42.9–71.1)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(17.1–43.8)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(5.4–21.7)</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10 Primary endpoint sensitivities and post hoc strata</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(3.7–20.3)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(8.4–24.7)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(15.5–32.4)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(2.7–15.5)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(17.8–32.5)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97.7%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62.5% (41.7–83.3)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 (16.7–58.3)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10.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11 Benchmark trials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 (Low/SC/High)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12 Published label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bl>
    <w:p>
      <w:pPr/>
      <w:r>
        <w:br w:type="page"/>
      </w:r>
    </w:p>
    <w:p>
      <w:pPr>
        <w:pStyle w:val="Titre2"/>
      </w:pPr>
      <w:r>
        <w:t xml:space="preserve">Published label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13 Unweighted agreement with published labels</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14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14.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15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Resolution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Violations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15.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16 Time cost and token use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16.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17 API cost estimates and reconstruction bounds</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bl>
    <w:p>
      <w:pPr/>
      <w:r>
        <w:br w:type="page"/>
      </w:r>
    </w:p>
    <w:p>
      <w:pPr>
        <w:pStyle w:val="Titre2"/>
      </w:pPr>
      <w:r>
        <w:t xml:space="preserve">API cost estimates and reconstruction bounds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17.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18 Token reconciliation</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bl>
    <w:p>
      <w:pPr/>
      <w:r>
        <w:br w:type="page"/>
      </w:r>
    </w:p>
    <w:p>
      <w:pPr>
        <w:pStyle w:val="Titre2"/>
      </w:pPr>
      <w:r>
        <w:t xml:space="preserve">Token reconciliation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18.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19 Evidence binding</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20 Derived Overall validation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barratt-2024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canvas-program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chua-2022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dapa-hf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declare-timi-58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deliver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empa-reg-outcome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frat-2019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guitton-2019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jaber-2016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lv-2023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nefigard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bl>
    <w:p>
      <w:pPr/>
      <w:r>
        <w:br w:type="page"/>
      </w:r>
    </w:p>
    <w:p>
      <w:pPr>
        <w:pStyle w:val="Titre2"/>
      </w:pPr>
      <w:r>
        <w:t xml:space="preserve">Derived Overall validation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rosen-2021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sanctuary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stop-igan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20. CI, confidence interval; 10,000 percentile bootstrap replicates, trials resampled within meta-analysis; seed 20261018. All n = 29 differences from n = 612 column–trial checks are shown: 21 published reviews gave no Overall label; seven High escalations are permitted; one Published Low label differs from derived Some concerns. Missing Published labels are excluded from expert agreement, never counted as disagreements. SC, Some concerns; NI, no information; NA, not applicable. Counts and denominators refer to the named cells or answers.</w:t>
            </w:r>
          </w:p>
        </w:tc>
      </w:tr>
    </w:tbl>
    <w:p>
      <w:pPr/>
      <w:r>
        <w:br w:type="page"/>
      </w:r>
    </w:p>
    <w:p>
      <w:pPr>
        <w:pStyle w:val="Titre2"/>
      </w:pPr>
      <w:r>
        <w:t xml:space="preserve">eTable 21 Evidence and quotation locations for the prior-work comparison</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No; Enforcement — No; Agent — No: “Support Vector Machine” — Methods, Machine-Learning Approach: learned document/sentence classifiers, not official decision-rule execution or a tool-calling agent. Three classifiers use held-out trial reports; model internals differ.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“Linking with this dataset may yield better performance.” — Discussion, selective reporting limitation: protocol/registry linkage is future work; current models use trial-publication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Identical inputs — Yes; Fixed-model comparison — No: “test data” — Evaluation, Task 1: the held-out duplicate-assessment trial set is used across three classifier variants. This compares different classifiers, not the same model with/without an assessment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Reference; Independent reference — Partly: “blinded expert panel” — Introduction and Evaluation: historical independent Cochrane assessments supply RoB labels; newly recruited blinded experts assess supporting-text relevance only. No newly adjudicated RoB reference is implied.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“checked the 100 overall judgements” — Methods, Data analysis: overall-rule check only; 2/100 violations; not signalling-answer/domain conformance.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“We reviewed all ‘two-level discrepancies’” — Methods, Data analysis: unblinded author review against sources, not an independent panel or replacement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Partly: “using Excel based on the RoB2 decision algorithm” — Discussion, Principal Findings: secondary spreadsheet derivation; executable formulas/automation are not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“investigated the discrepancies” — Methods, Statistical Analysis: direct versus algorithm-derived judgments compared; no violation count/rate.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“initially conducted independent judgments” — Methods, Establishment of the Criterion Standard: three trained reviewers, then consensus.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“excluding Multimedia Appendices and protocols” — Discussion, Principal Findings; Limitations additionally excludes registration documents. Protocol availability is metadata, not delivery of a protocol.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Lai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“manually corrected based on research team consensus” — Methods, Establishment of the Reference Standard; Results sensitivity analysis: corrections to Toouli assessments, not a new blinded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PMC13614218,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Nyrhi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“PDF-versions of their protocols when available” — Methods, Prompt development and standardisation: available protocols supplied; DeepSeek received copied protocol text (eAppendix 1). Missing protocols for some trials do not turn documented delivery into Partly; the column does not require a protocol for every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PMC13054287, Methods; eAppendix 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“web-browsing capabilities enabled” — Methods, Data collection and RoB assessment: capability enabled; actual external searches not logged/quantified.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“masked to the OSRA’s assessments” — Same section: three reviewers independently re-rated all 50 trials; consensus/fourth reviewer resolved their differences.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“implemented in code” — Methods, RoB 2.0 Algorithm Implementation: authors recomputed domain judgments.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Partly: “official flowchart aggregation logic” — Methods, Study Design and Data: ROBoto2 component only; general Gemini/Gems emit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“conformance was 43%” — Results, Algorithm Conformance and Internal Consistency: 43%, 51%, 60% across configurations; skip logic also checked.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“reference knowledge” — Methods, Study Design and Data: Gems retrieval and ROBoto2 pipeline, not demonstrated autonomous tool calls.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“One experienced reviewer’s assessment served as the reference.” — Methods, Study Design and Data: a single expert, not a blinded panel.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Enforcement — Partly: “implement the logic provided by the ROB2 flowcharts” — Section 4, Domain-level and overall judgments: integrated software aggregation; not proven rejection of invalid/incomplete answers, and Choi found displayed inconsistencies.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“retains the original LLM responses and rationales” — Section 4, Collecting user feedback: original and human-edited records retained; no independently verified source-integrity bundle.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“retrieved evidence paragraphs as context” — Section 4, Answering signaling questions: retrieval pipeline, not autonomous agent tool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“245 reports” — Section 5, Annotation procedure: manually assessed expert subset used for every LLM evaluation.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Partly: “a verbatim quotation drawn from the retrieved trial text” — Methods, Retrieval-Based Evidence Support and Hallucination Assessment: GPT-5 judge supplies quoted support verdicts; no deterministic occurrence/hash check established.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“returned structured JSON” — Same section: verdict, quote and rationale are reviewable; no complete independently verifiable source bundle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“post hoc claim verification” — Discussion, Limitations: BM25 plus judge pipeline evaluates generated claims; no autonomous assessment agent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Not reported: “customised agent-based implementations” — Methods, LLM assessment workflow: structured prompting is established, but neither retrieval nor external tool calling is demonstrated.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“two separate teams of human reviewers” — Methods, Study design and data source: concordant historical review ratings selected, not new adjudication.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“ARBITER proposals must reproduce the official algorithms for every domain” — ANALYSIS-PLAN, section 5.4; eTable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Yes: every override must be recorded; no ARBITER domain overrides were recorded in these 510 domains — ANALYSIS-PLAN, section 5.4; Table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ARBITER D1–D5 rule breaks 0/510 — eTable 14; Table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Yes: “found in the stored source” — ANALYSIS-PLAN, section 5.5; eTable 19 reports 1407/1407 text-span and 14/14 visual evidence bindings.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Yes: stored bundles contain canonical bundle records and verification receipts; eTable 19 reports 102/102 bundle verification. Sources: ARBITER bundles and independent verification receipts.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Yes: “its MCP server.” — ARBITER run input inventory, Setup.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Two blinded human experts independently rated all 510 trial domains without AI, before viewing labels. Sources: the two full-coverage adjudication workbooks, Adjudications sheets; design specification in the full-coverage expert assessment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“the 60 protocol and SAP PDFs” — Unassisted run input inventory, Inputs; ARBITER run input inventory, opening paragraph: registry document acquisition enabled. Availability varies by trial; Yes records delivery of the complete acquired ancillary set to both arms, not that every trial had a protocol.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eFigure 1 Published label agreement varied across reviews</w:t>
      </w:r>
    </w:p>
    <w:p>
      <w:pPr>
        <w:pStyle w:val="Normal"/>
      </w:pPr>
      <w:r>
        <w:rPr/>
        <w:drawing>
          <wp:inline distT="0" distB="0" distL="0" distR="0">
            <wp:extent cx="6126480" cy="70408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0880"/>
                    </a:xfrm>
                    <a:prstGeom prst="rect">
                      <a:avLst/>
                    </a:prstGeom>
                    <a:noFill/>
                  </pic:spPr>
                </pic:pic>
              </a:graphicData>
            </a:graphic>
          </wp:inline>
        </w:drawing>
      </w:r>
    </w:p>
    <w:p>
      <w:pPr>
        <w:pStyle w:val="ManuscriptBody"/>
      </w:pPr>
      <w:r>
        <w:t xml:space="preserve">CI, confidence interval; 10,000 percentile bootstrap replicates, trials resampled within meta-analysis; seed 20261018.</w:t>
      </w:r>
    </w:p>
    <w:p>
      <w:pPr/>
      <w:r>
        <w:br w:type="page"/>
      </w:r>
    </w:p>
    <w:p>
      <w:pPr>
        <w:pStyle w:val="Titre2"/>
      </w:pPr>
      <w:r>
        <w:t xml:space="preserve">eFigure 2 Domain level signalling agreement</w:t>
      </w:r>
    </w:p>
    <w:p>
      <w:pPr>
        <w:pStyle w:val="Normal"/>
      </w:pPr>
      <w:r>
        <w:rPr/>
        <w:drawing>
          <wp:inline distT="0" distB="0" distL="0" distR="0">
            <wp:extent cx="6126480" cy="493776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4937760"/>
                    </a:xfrm>
                    <a:prstGeom prst="rect">
                      <a:avLst/>
                    </a:prstGeom>
                    <a:noFill/>
                  </pic:spPr>
                </pic:pic>
              </a:graphicData>
            </a:graphic>
          </wp:inline>
        </w:drawing>
      </w:r>
    </w:p>
    <w:p>
      <w:pPr>
        <w:pStyle w:val="ManuscriptBody"/>
      </w:pPr>
      <w:r>
        <w:t xml:space="preserve">ARBITER: blue circles; Unassisted: orange squares. Experts are separated by facet. Five-level and collapsed exact agreement, with all domain denominators in eTable 5. CI, confidence interval; 10,000 percentile bootstrap replicates, trials resampled within meta-analysis; seed 20261018.</w:t>
      </w:r>
    </w:p>
    <w:p>
      <w:pPr/>
      <w:r>
        <w:br w:type="page"/>
      </w:r>
    </w:p>
    <w:p>
      <w:pPr>
        <w:pStyle w:val="Titre2"/>
      </w:pPr>
      <w:r>
        <w:t xml:space="preserve">eFigure 3 All signalling question paired differences</w:t>
      </w:r>
    </w:p>
    <w:p>
      <w:pPr>
        <w:pStyle w:val="Normal"/>
      </w:pPr>
      <w:r>
        <w:rPr/>
        <w:drawing>
          <wp:inline distT="0" distB="0" distL="0" distR="0">
            <wp:extent cx="6126480" cy="731520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126480" cy="7315200"/>
                    </a:xfrm>
                    <a:prstGeom prst="rect">
                      <a:avLst/>
                    </a:prstGeom>
                    <a:noFill/>
                  </pic:spPr>
                </pic:pic>
              </a:graphicData>
            </a:graphic>
          </wp:inline>
        </w:drawing>
      </w:r>
    </w:p>
    <w:p>
      <w:pPr>
        <w:pStyle w:val="ManuscriptBody"/>
      </w:pPr>
      <w:r>
        <w:t xml:space="preserve">Both collapsed and five-level scales are shown, including questions with fewer than 20 paired answers. Blue circles show ARBITER − Unassisted; expert identity is given by row labels. Full numerical values are in eTable 5. CI, confidence interval; 10,000 percentile bootstrap replicates, trials resampled within meta-analysis; seed 20261018.</w:t>
      </w:r>
    </w:p>
    <w:p>
      <w:pPr/>
      <w:r>
        <w:br w:type="page"/>
      </w:r>
    </w:p>
    <w:p>
      <w:pPr>
        <w:pStyle w:val="Titre1"/>
      </w:pPr>
      <w:r>
        <w:t xml:space="preserve">AVATAR complete trace</w:t>
      </w:r>
    </w:p>
    <w:p>
      <w:pPr>
        <w:pStyle w:val="Titre2"/>
      </w:pPr>
      <w:r>
        <w:t xml:space="preserve">Part A. Answers and judgements</w:t>
      </w:r>
    </w:p>
    <w:p>
      <w:pPr>
        <w:pStyle w:val="Titre2"/>
      </w:pPr>
      <w:r>
        <w:t xml:space="preserve">D1 judgement / rationale</w:t>
      </w:r>
    </w:p>
    <w:p>
      <w:pPr>
        <w:pStyle w:val="ManuscriptBody"/>
      </w:pPr>
      <w:r>
        <w:t xml:space="preserve">ARBITER: Proposed: Low; adopted: Low</w:t>
      </w:r>
    </w:p>
    <w:p>
      <w:pPr>
        <w:pStyle w:val="ManuscriptBody"/>
      </w:pPr>
      <w:r>
        <w:t xml:space="preserve">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pPr>
        <w:pStyle w:val="Titre2"/>
      </w:pPr>
      <w:r>
        <w:t xml:space="preserve">1.1 Random allocation sequence</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The original AVATAR paper states the assignment was computer-generated and stratified by centre using a permuted-block sequence with variable block size, which is a random component.</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1.2 Concealment until enrolment and assignment</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Patients were randomized using a web-based interactive response system, a central remote allocation method independent of enrolment staff. Variable block size limits predictability of the last allocations in a block.</w:t>
      </w:r>
    </w:p>
    <w:p>
      <w:pPr>
        <w:pStyle w:val="ManuscriptBody"/>
      </w:pPr>
      <w:r>
        <w:t xml:space="preserve">Unknowns: Whether the central system was run by a unit independent of enrolling staff is not stated explicitly.</w:t>
      </w:r>
    </w:p>
    <w:p>
      <w:pPr>
        <w:pStyle w:val="ManuscriptBody"/>
      </w:pPr>
      <w:r>
        <w:t xml:space="preserve">Counterevidence: —</w:t>
      </w:r>
    </w:p>
    <w:p>
      <w:pPr>
        <w:pStyle w:val="ManuscriptBody"/>
      </w:pPr>
      <w:r>
        <w:t xml:space="preserve">Unassisted: Yes</w:t>
      </w:r>
    </w:p>
    <w:p>
      <w:pPr>
        <w:pStyle w:val="Titre2"/>
      </w:pPr>
      <w:r>
        <w:t xml:space="preserve">1.3 Preintervention imbalance suggesting a randomisation problem</w:t>
      </w:r>
    </w:p>
    <w:p>
      <w:pPr>
        <w:pStyle w:val="ManuscriptBody"/>
      </w:pPr>
      <w:r>
        <w:t xml:space="preserve">ARBITER: No</w:t>
      </w:r>
    </w:p>
    <w:p>
      <w:pPr>
        <w:pStyle w:val="ManuscriptBody"/>
      </w:pPr>
      <w:r>
        <w:t xml:space="preserve">Evidence handles (type): eh_92eed84c7b98e37c (direct support); eh_58abdac52262aa33 (context)</w:t>
      </w:r>
    </w:p>
    <w:p>
      <w:pPr>
        <w:pStyle w:val="ManuscriptBody"/>
      </w:pPr>
      <w:r>
        <w:t xml:space="preserve">Justification: Group sizes were 78 vs 79. Of about 25 baseline comparisons in Table 2, only age (P=.02) and haemoglobin (P=.01) were nominally significant, and diabetes was P=.07. The age difference is 1 year in medians. This is compatible with chance and none approaches P&lt;0.001.</w:t>
      </w:r>
    </w:p>
    <w:p>
      <w:pPr>
        <w:pStyle w:val="ManuscriptBody"/>
      </w:pPr>
      <w:r>
        <w:t xml:space="preserve">Unknowns: —</w:t>
      </w:r>
    </w:p>
    <w:p>
      <w:pPr>
        <w:pStyle w:val="ManuscriptBody"/>
      </w:pPr>
      <w:r>
        <w:t xml:space="preserve">Counterevidence: Basis 1: Diabetes was less common in early surgery (17.9% vs 29.1%), which could favour surgery, but P=.07 is compatible with chance and the 2022 paper attributes it to chance.</w:t>
      </w:r>
    </w:p>
    <w:p>
      <w:pPr>
        <w:pStyle w:val="ManuscriptBody"/>
      </w:pPr>
      <w:r>
        <w:t xml:space="preserve">Unassisted: Probably no</w:t>
      </w:r>
    </w:p>
    <w:p>
      <w:pPr/>
      <w:r>
        <w:br w:type="page"/>
      </w:r>
    </w:p>
    <w:p>
      <w:pPr>
        <w:pStyle w:val="Titre2"/>
      </w:pPr>
      <w:r>
        <w:t xml:space="preserve">D2 judgement / rationale</w:t>
      </w:r>
    </w:p>
    <w:p>
      <w:pPr>
        <w:pStyle w:val="ManuscriptBody"/>
      </w:pPr>
      <w:r>
        <w:t xml:space="preserve">ARBITER: Proposed: Low; adopted: Low</w:t>
      </w:r>
    </w:p>
    <w:p>
      <w:pPr>
        <w:pStyle w:val="ManuscriptBody"/>
      </w:pPr>
      <w:r>
        <w:t xml:space="preserve">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pPr>
        <w:pStyle w:val="Titre2"/>
      </w:pPr>
      <w:r>
        <w:t xml:space="preserve">2.1 Participants aware of assignment</w:t>
      </w:r>
    </w:p>
    <w:p>
      <w:pPr>
        <w:pStyle w:val="ManuscriptBody"/>
      </w:pPr>
      <w:r>
        <w:t xml:space="preserve">ARBITER: Yes</w:t>
      </w:r>
    </w:p>
    <w:p>
      <w:pPr>
        <w:pStyle w:val="ManuscriptBody"/>
      </w:pPr>
      <w:r>
        <w:t xml:space="preserve">Evidence handles (type): eh_975aac3202107531 (direct support); eh_3ce4199af9d487f3 (context)</w:t>
      </w:r>
    </w:p>
    <w:p>
      <w:pPr>
        <w:pStyle w:val="ManuscriptBody"/>
      </w:pPr>
      <w:r>
        <w:t xml:space="preserve">Justification: The registry lists masking as NONE, and the comparison is surgical valve replacement versus watchful waiting, which cannot be hidden from participants.</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2.2 Carers or intervention providers aware of assignment</w:t>
      </w:r>
    </w:p>
    <w:p>
      <w:pPr>
        <w:pStyle w:val="ManuscriptBody"/>
      </w:pPr>
      <w:r>
        <w:t xml:space="preserve">ARBITER: Yes</w:t>
      </w:r>
    </w:p>
    <w:p>
      <w:pPr>
        <w:pStyle w:val="ManuscriptBody"/>
      </w:pPr>
      <w:r>
        <w:t xml:space="preserve">Evidence handles (type): eh_975aac3202107531 (direct support)</w:t>
      </w:r>
    </w:p>
    <w:p>
      <w:pPr>
        <w:pStyle w:val="ManuscriptBody"/>
      </w:pPr>
      <w:r>
        <w:t xml:space="preserve">Justification: Open-label surgery versus conservative care means clinicians and surgeons delivering care knew the assignment. Allocation was concealed until assignment, but blinding afterwards was impossible.</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2.3 Deviations arising from trial context</w:t>
      </w:r>
    </w:p>
    <w:p>
      <w:pPr>
        <w:pStyle w:val="ManuscriptBody"/>
      </w:pPr>
      <w:r>
        <w:t xml:space="preserve">ARBITER: Probably no</w:t>
      </w:r>
    </w:p>
    <w:p>
      <w:pPr>
        <w:pStyle w:val="ManuscriptBody"/>
      </w:pPr>
      <w:r>
        <w:t xml:space="preserve">Evidence handles (type): eh_c8e0958840636206 (direct support); eh_22d01d9384e1a677 (context); eh_4b5761bf573cc287 (context); eh_05e667d2d41d3858 (context)</w:t>
      </w:r>
    </w:p>
    <w:p>
      <w:pPr>
        <w:pStyle w:val="ManuscriptBody"/>
      </w:pPr>
      <w:r>
        <w:t xml:space="preserve">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pPr>
        <w:pStyle w:val="ManuscriptBody"/>
      </w:pPr>
      <w:r>
        <w:t xml:space="preserve">Unknowns: Reasons for declining surgery are not described in detail.</w:t>
      </w:r>
    </w:p>
    <w:p>
      <w:pPr>
        <w:pStyle w:val="ManuscriptBody"/>
      </w:pPr>
      <w:r>
        <w:t xml:space="preserve">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pPr>
        <w:pStyle w:val="ManuscriptBody"/>
      </w:pPr>
      <w:r>
        <w:t xml:space="preserve">Unassisted: Probably no</w:t>
      </w:r>
    </w:p>
    <w:p>
      <w:pPr/>
      <w:r>
        <w:br w:type="page"/>
      </w:r>
    </w:p>
    <w:p>
      <w:pPr>
        <w:pStyle w:val="Titre2"/>
      </w:pPr>
      <w:r>
        <w:t xml:space="preserve">2.4 Deviations affecting the outcome</w:t>
      </w:r>
    </w:p>
    <w:p>
      <w:pPr>
        <w:pStyle w:val="ManuscriptBody"/>
      </w:pPr>
      <w:r>
        <w:t xml:space="preserve">ARBITER: Not asked (inactive; branching)</w:t>
      </w:r>
    </w:p>
    <w:p>
      <w:pPr>
        <w:pStyle w:val="ManuscriptBody"/>
      </w:pPr>
      <w:r>
        <w:t xml:space="preserve">Unassisted: Not applicable</w:t>
      </w:r>
    </w:p>
    <w:p>
      <w:pPr>
        <w:pStyle w:val="Titre2"/>
      </w:pPr>
      <w:r>
        <w:t xml:space="preserve">2.5 Deviations balanced across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2.6 Appropriate analysis of assignment effect</w:t>
      </w:r>
    </w:p>
    <w:p>
      <w:pPr>
        <w:pStyle w:val="ManuscriptBody"/>
      </w:pPr>
      <w:r>
        <w:t xml:space="preserve">ARBITER: Yes</w:t>
      </w:r>
    </w:p>
    <w:p>
      <w:pPr>
        <w:pStyle w:val="ManuscriptBody"/>
      </w:pPr>
      <w:r>
        <w:t xml:space="preserve">Evidence handles (type): eh_30fa222ec5523dcc (direct support); eh_c8e0958840636206 (direct support)</w:t>
      </w:r>
    </w:p>
    <w:p>
      <w:pPr>
        <w:pStyle w:val="ManuscriptBody"/>
      </w:pPr>
      <w:r>
        <w:t xml:space="preserve">Justification: All analyses were intention-to-treat as randomized, and all 157 patients were included. One early-surgery patient lost to follow-up was censored and still analysed.</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2.7 Substantial impact of analysing outside assigned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D3 judgement / rationale</w:t>
      </w:r>
    </w:p>
    <w:p>
      <w:pPr>
        <w:pStyle w:val="ManuscriptBody"/>
      </w:pPr>
      <w:r>
        <w:t xml:space="preserve">ARBITER: Proposed: Low; adopted: Low</w:t>
      </w:r>
    </w:p>
    <w:p>
      <w:pPr>
        <w:pStyle w:val="ManuscriptBody"/>
      </w:pPr>
      <w:r>
        <w:t xml:space="preserve">Unassisted: Low
All 157 patients were analysed. One patient lost to follow-up was censored.</w:t>
      </w:r>
    </w:p>
    <w:p>
      <w:pPr>
        <w:pStyle w:val="Titre2"/>
      </w:pPr>
      <w:r>
        <w:t xml:space="preserve">3.1 Outcome data available for nearly everyone</w:t>
      </w:r>
    </w:p>
    <w:p>
      <w:pPr>
        <w:pStyle w:val="ManuscriptBody"/>
      </w:pPr>
      <w:r>
        <w:t xml:space="preserve">ARBITER: Yes</w:t>
      </w:r>
    </w:p>
    <w:p>
      <w:pPr>
        <w:pStyle w:val="ManuscriptBody"/>
      </w:pPr>
      <w:r>
        <w:t xml:space="preserve">Evidence handles (type): eh_e66d374e838e8c6d (direct support)</w:t>
      </w:r>
    </w:p>
    <w:p>
      <w:pPr>
        <w:pStyle w:val="ManuscriptBody"/>
      </w:pPr>
      <w:r>
        <w:t xml:space="preserve">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3.2 Evidence against bias from missing data</w:t>
      </w:r>
    </w:p>
    <w:p>
      <w:pPr>
        <w:pStyle w:val="ManuscriptBody"/>
      </w:pPr>
      <w:r>
        <w:t xml:space="preserve">ARBITER: Not asked (inactive; branching)</w:t>
      </w:r>
    </w:p>
    <w:p>
      <w:pPr>
        <w:pStyle w:val="ManuscriptBody"/>
      </w:pPr>
      <w:r>
        <w:t xml:space="preserve">Unassisted: Not applicable</w:t>
      </w:r>
    </w:p>
    <w:p>
      <w:pPr>
        <w:pStyle w:val="Titre2"/>
      </w:pPr>
      <w:r>
        <w:t xml:space="preserve">3.3 Missingness potentially depends on true outcome</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3.4 Missingness likely depends on true outcome</w:t>
      </w:r>
    </w:p>
    <w:p>
      <w:pPr>
        <w:pStyle w:val="ManuscriptBody"/>
      </w:pPr>
      <w:r>
        <w:t xml:space="preserve">ARBITER: Not asked (inactive; branching)</w:t>
      </w:r>
    </w:p>
    <w:p>
      <w:pPr>
        <w:pStyle w:val="ManuscriptBody"/>
      </w:pPr>
      <w:r>
        <w:t xml:space="preserve">Unassisted: Not applicable</w:t>
      </w:r>
    </w:p>
    <w:p>
      <w:pPr>
        <w:pStyle w:val="Titre2"/>
      </w:pPr>
      <w:r>
        <w:t xml:space="preserve">D4 judgement / rationale</w:t>
      </w:r>
    </w:p>
    <w:p>
      <w:pPr>
        <w:pStyle w:val="ManuscriptBody"/>
      </w:pPr>
      <w:r>
        <w:t xml:space="preserve">ARBITER: Proposed: Low; adopted: Low</w:t>
      </w:r>
    </w:p>
    <w:p>
      <w:pPr>
        <w:pStyle w:val="ManuscriptBody"/>
      </w:pPr>
      <w:r>
        <w:t xml:space="preserve">Unassisted: Low
Death is an objective outcome. Assessors were not blinded to allocation, but this cannot plausibly bias an all-cause death count.</w:t>
      </w:r>
    </w:p>
    <w:p>
      <w:pPr/>
      <w:r>
        <w:br w:type="page"/>
      </w:r>
    </w:p>
    <w:p>
      <w:pPr>
        <w:pStyle w:val="Titre2"/>
      </w:pPr>
      <w:r>
        <w:t xml:space="preserve">4.1 Inappropriate measurement method</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pPr>
        <w:pStyle w:val="ManuscriptBody"/>
      </w:pPr>
      <w:r>
        <w:t xml:space="preserve">Unknowns: —</w:t>
      </w:r>
    </w:p>
    <w:p>
      <w:pPr>
        <w:pStyle w:val="ManuscriptBody"/>
      </w:pPr>
      <w:r>
        <w:t xml:space="preserve">Counterevidence: —</w:t>
      </w:r>
    </w:p>
    <w:p>
      <w:pPr>
        <w:pStyle w:val="ManuscriptBody"/>
      </w:pPr>
      <w:r>
        <w:t xml:space="preserve">Unassisted: No</w:t>
      </w:r>
    </w:p>
    <w:p>
      <w:pPr>
        <w:pStyle w:val="Titre2"/>
      </w:pPr>
      <w:r>
        <w:t xml:space="preserve">4.2 Measurement differs across groups</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Both arms followed the same protocol schedule, and COVID-related phone follow-up applied to patients regardless of arm. Death is hard to miss, so any difference in contact opportunities (e.g. surgery visits) is unlikely to change ascertainment of death.</w:t>
      </w:r>
    </w:p>
    <w:p>
      <w:pPr>
        <w:pStyle w:val="ManuscriptBody"/>
      </w:pPr>
      <w:r>
        <w:t xml:space="preserve">Unknowns: Whether vital status was verified from registries in both arms is not stated.</w:t>
      </w:r>
    </w:p>
    <w:p>
      <w:pPr>
        <w:pStyle w:val="ManuscriptBody"/>
      </w:pPr>
      <w:r>
        <w:t xml:space="preserve">Counterevidence: —</w:t>
      </w:r>
    </w:p>
    <w:p>
      <w:pPr>
        <w:pStyle w:val="ManuscriptBody"/>
      </w:pPr>
      <w:r>
        <w:t xml:space="preserve">Unassisted: No</w:t>
      </w:r>
    </w:p>
    <w:p>
      <w:pPr/>
      <w:r>
        <w:br w:type="page"/>
      </w:r>
    </w:p>
    <w:p>
      <w:pPr>
        <w:pStyle w:val="Titre2"/>
      </w:pPr>
      <w:r>
        <w:t xml:space="preserve">4.3 Assessors aware of received intervention</w:t>
      </w:r>
    </w:p>
    <w:p>
      <w:pPr>
        <w:pStyle w:val="ManuscriptBody"/>
      </w:pPr>
      <w:r>
        <w:t xml:space="preserve">ARBITER: Yes</w:t>
      </w:r>
    </w:p>
    <w:p>
      <w:pPr>
        <w:pStyle w:val="ManuscriptBody"/>
      </w:pPr>
      <w:r>
        <w:t xml:space="preserve">Evidence handles (type): eh_3ce4199af9d487f3 (direct support)</w:t>
      </w:r>
    </w:p>
    <w:p>
      <w:pPr>
        <w:pStyle w:val="ManuscriptBody"/>
      </w:pPr>
      <w:r>
        <w:t xml:space="preserve">Justification: The trial was open-label (registry masking: none), and the report states that DSMB members were not blinded to allocation when reviewing events. Site investigators recording deaths were also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pStyle w:val="Titre2"/>
      </w:pPr>
      <w:r>
        <w:t xml:space="preserve">4.4 Assessment potentially influenced by awareness</w:t>
      </w:r>
    </w:p>
    <w:p>
      <w:pPr>
        <w:pStyle w:val="ManuscriptBody"/>
      </w:pPr>
      <w:r>
        <w:t xml:space="preserve">ARBITER: Probably no</w:t>
      </w:r>
    </w:p>
    <w:p>
      <w:pPr>
        <w:pStyle w:val="ManuscriptBody"/>
      </w:pPr>
      <w:r>
        <w:t xml:space="preserve">Evidence handles (type): eh_3ce4199af9d487f3 (inference)</w:t>
      </w:r>
    </w:p>
    <w:p>
      <w:pPr>
        <w:pStyle w:val="ManuscriptBody"/>
      </w:pPr>
      <w:r>
        <w:t xml:space="preserve">Justification: All-cause death is an observer-reported outcome that involves no judgement, so knowledge of the intervention is unlikely to influence its assessment, even though the assessors were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r>
        <w:br w:type="page"/>
      </w:r>
    </w:p>
    <w:p>
      <w:pPr>
        <w:pStyle w:val="Titre2"/>
      </w:pPr>
      <w:r>
        <w:t xml:space="preserve">4.5 Assessment likely influenced by awareness</w:t>
      </w:r>
    </w:p>
    <w:p>
      <w:pPr>
        <w:pStyle w:val="ManuscriptBody"/>
      </w:pPr>
      <w:r>
        <w:t xml:space="preserve">ARBITER: Not asked (inactive; branching)</w:t>
      </w:r>
    </w:p>
    <w:p>
      <w:pPr>
        <w:pStyle w:val="ManuscriptBody"/>
      </w:pPr>
      <w:r>
        <w:t xml:space="preserve">Unassisted: Not applicable</w:t>
      </w:r>
    </w:p>
    <w:p>
      <w:pPr>
        <w:pStyle w:val="Titre2"/>
      </w:pPr>
      <w:r>
        <w:t xml:space="preserve">D5 judgement / rationale</w:t>
      </w:r>
    </w:p>
    <w:p>
      <w:pPr>
        <w:pStyle w:val="ManuscriptBody"/>
      </w:pPr>
      <w:r>
        <w:t xml:space="preserve">ARBITER: Proposed: Some concerns; adopted: Some concerns</w:t>
      </w:r>
    </w:p>
    <w:p>
      <w:pPr>
        <w:pStyle w:val="ManuscriptBody"/>
      </w:pPr>
      <w:r>
        <w:t xml:space="preserve">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pPr/>
      <w:r>
        <w:br w:type="page"/>
      </w:r>
    </w:p>
    <w:p>
      <w:pPr>
        <w:pStyle w:val="Titre2"/>
      </w:pPr>
      <w:r>
        <w:t xml:space="preserve">5.1 Analysis plan finalised before unblinding</w:t>
      </w:r>
    </w:p>
    <w:p>
      <w:pPr>
        <w:pStyle w:val="ManuscriptBody"/>
      </w:pPr>
      <w:r>
        <w:t xml:space="preserve">ARBITER: No information</w:t>
      </w:r>
    </w:p>
    <w:p>
      <w:pPr>
        <w:pStyle w:val="ManuscriptBody"/>
      </w:pPr>
      <w:r>
        <w:t xml:space="preserve">Evidence handles (type): eh_d54a2600ddc753b3 (context); eh_7ad155913c1c5826 (context); eh_30fa222ec5523dcc (context); eh_7961ea6680167af2 (context)</w:t>
      </w:r>
    </w:p>
    <w:p>
      <w:pPr>
        <w:pStyle w:val="ManuscriptBody"/>
      </w:pPr>
      <w:r>
        <w:t xml:space="preserve">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pPr>
        <w:pStyle w:val="ManuscriptBody"/>
      </w:pPr>
      <w:r>
        <w:t xml:space="preserve">Unknowns: Whether the published protocol listed time to all-cause death and its Cox analysis, and its date relative to unblinded data.</w:t>
      </w:r>
    </w:p>
    <w:p>
      <w:pPr>
        <w:pStyle w:val="ManuscriptBody"/>
      </w:pPr>
      <w:r>
        <w:t xml:space="preserve">Counterevidence: —</w:t>
      </w:r>
    </w:p>
    <w:p>
      <w:pPr>
        <w:pStyle w:val="ManuscriptBody"/>
      </w:pPr>
      <w:r>
        <w:t xml:space="preserve">Unassisted: Probably yes</w:t>
      </w:r>
    </w:p>
    <w:p>
      <w:pPr>
        <w:pStyle w:val="Titre2"/>
      </w:pPr>
      <w:r>
        <w:t xml:space="preserve">5.2 Result selected from eligible outcome measurements</w:t>
      </w:r>
    </w:p>
    <w:p>
      <w:pPr>
        <w:pStyle w:val="ManuscriptBody"/>
      </w:pPr>
      <w:r>
        <w:t xml:space="preserve">ARBITER: Probably no</w:t>
      </w:r>
    </w:p>
    <w:p>
      <w:pPr>
        <w:pStyle w:val="ManuscriptBody"/>
      </w:pPr>
      <w:r>
        <w:t xml:space="preserve">Evidence handles (type): eh_30fa222ec5523dcc (direct support); eh_d54a2600ddc753b3 (context)</w:t>
      </w:r>
    </w:p>
    <w:p>
      <w:pPr>
        <w:pStyle w:val="ManuscriptBody"/>
      </w:pPr>
      <w:r>
        <w:t xml:space="preserve">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pPr>
        <w:pStyle w:val="ManuscriptBody"/>
      </w:pPr>
      <w:r>
        <w:t xml:space="preserve">Unknowns: —</w:t>
      </w:r>
    </w:p>
    <w:p>
      <w:pPr>
        <w:pStyle w:val="ManuscriptBody"/>
      </w:pPr>
      <w:r>
        <w:t xml:space="preserve">Counterevidence: —</w:t>
      </w:r>
    </w:p>
    <w:p>
      <w:pPr>
        <w:pStyle w:val="ManuscriptBody"/>
      </w:pPr>
      <w:r>
        <w:t xml:space="preserve">Unassisted: Probably no</w:t>
      </w:r>
    </w:p>
    <w:p>
      <w:pPr/>
      <w:r>
        <w:br w:type="page"/>
      </w:r>
    </w:p>
    <w:p>
      <w:pPr>
        <w:pStyle w:val="Titre2"/>
      </w:pPr>
      <w:r>
        <w:t xml:space="preserve">5.3 Result selected from eligible analyses</w:t>
      </w:r>
    </w:p>
    <w:p>
      <w:pPr>
        <w:pStyle w:val="ManuscriptBody"/>
      </w:pPr>
      <w:r>
        <w:t xml:space="preserve">ARBITER: Probably no</w:t>
      </w:r>
    </w:p>
    <w:p>
      <w:pPr>
        <w:pStyle w:val="ManuscriptBody"/>
      </w:pPr>
      <w:r>
        <w:t xml:space="preserve">Evidence handles (type): eh_30fa222ec5523dcc (direct support); eh_f625637d366df2a0 (context)</w:t>
      </w:r>
    </w:p>
    <w:p>
      <w:pPr>
        <w:pStyle w:val="ManuscriptBody"/>
      </w:pPr>
      <w:r>
        <w:t xml:space="preserve">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pPr>
        <w:pStyle w:val="ManuscriptBody"/>
      </w:pPr>
      <w:r>
        <w:t xml:space="preserve">Unknowns: —</w:t>
      </w:r>
    </w:p>
    <w:p>
      <w:pPr>
        <w:pStyle w:val="ManuscriptBody"/>
      </w:pPr>
      <w:r>
        <w:t xml:space="preserve">Counterevidence: —</w:t>
      </w:r>
    </w:p>
    <w:p>
      <w:pPr>
        <w:pStyle w:val="ManuscriptBody"/>
      </w:pPr>
      <w:r>
        <w:t xml:space="preserve">Unassisted: Probably no</w:t>
      </w:r>
    </w:p>
    <w:p>
      <w:pPr>
        <w:pStyle w:val="Titre2"/>
      </w:pPr>
      <w:r>
        <w:t xml:space="preserve">Overall</w:t>
      </w:r>
    </w:p>
    <w:p>
      <w:pPr>
        <w:pStyle w:val="ManuscriptBody"/>
      </w:pPr>
      <w:r>
        <w:t xml:space="preserve">ARBITER: Proposed: Some concerns; adopted: Some concerns</w:t>
      </w:r>
    </w:p>
    <w:p>
      <w:pPr>
        <w:pStyle w:val="ManuscriptBody"/>
      </w:pPr>
      <w:r>
        <w:t xml:space="preserve">Justification: Any domain Some concerns, with no High domain: Overall Some concerns.</w:t>
      </w:r>
    </w:p>
    <w:p>
      <w:pPr>
        <w:pStyle w:val="ManuscriptBody"/>
      </w:pPr>
      <w:r>
        <w:t xml:space="preserve">Unassisted: Low</w:t>
      </w:r>
    </w:p>
    <w:p>
      <w:pPr>
        <w:pStyle w:val="Titre2"/>
      </w:pPr>
      <w:r>
        <w:t xml:space="preserve">Part B. Evidence records</w:t>
      </w:r>
    </w:p>
    <w:p>
      <w:pPr>
        <w:pStyle w:val="Titre2"/>
      </w:pPr>
      <w:r>
        <w:t xml:space="preserve">eh_05e667d2d41d3858</w:t>
      </w:r>
    </w:p>
    <w:p>
      <w:pPr>
        <w:pStyle w:val="ManuscriptBody"/>
      </w:pPr>
      <w:r>
        <w:t xml:space="preserve">Source: AVATAR long-term follow-up report</w:t>
      </w:r>
    </w:p>
    <w:p>
      <w:pPr>
        <w:pStyle w:val="ManuscriptBody"/>
      </w:pPr>
      <w:r>
        <w:t xml:space="preserve">Page: 9</w:t>
      </w:r>
    </w:p>
    <w:p>
      <w:pPr>
        <w:pStyle w:val="ManuscriptBody"/>
      </w:pPr>
      <w:r>
        <w:t xml:space="preserve">Lines: 76–83</w:t>
      </w:r>
    </w:p>
    <w:p>
      <w:pPr>
        <w:pStyle w:val="ManuscriptBody"/>
      </w:pPr>
      <w:r>
        <w:t xml:space="preserve">Source-version hash: a890f771fd05</w:t>
      </w:r>
    </w:p>
    <w:p>
      <w:pPr>
        <w:pStyle w:val="ManuscriptBody"/>
      </w:pPr>
      <w:r>
        <w:t xml:space="preserve">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pPr>
        <w:pStyle w:val="Titre2"/>
      </w:pPr>
      <w:r>
        <w:t xml:space="preserve">eh_22d01d9384e1a677</w:t>
      </w:r>
    </w:p>
    <w:p>
      <w:pPr>
        <w:pStyle w:val="ManuscriptBody"/>
      </w:pPr>
      <w:r>
        <w:t xml:space="preserve">Source: Current registry-linked statistical analysis plan</w:t>
      </w:r>
    </w:p>
    <w:p>
      <w:pPr>
        <w:pStyle w:val="ManuscriptBody"/>
      </w:pPr>
      <w:r>
        <w:t xml:space="preserve">Page: 2</w:t>
      </w:r>
    </w:p>
    <w:p>
      <w:pPr>
        <w:pStyle w:val="ManuscriptBody"/>
      </w:pPr>
      <w:r>
        <w:t xml:space="preserve">Lines: 1–12</w:t>
      </w:r>
    </w:p>
    <w:p>
      <w:pPr>
        <w:pStyle w:val="ManuscriptBody"/>
      </w:pPr>
      <w:r>
        <w:t xml:space="preserve">Source-version hash: ba0a93294998</w:t>
      </w:r>
    </w:p>
    <w:p>
      <w:pPr>
        <w:pStyle w:val="ManuscriptBody"/>
      </w:pPr>
      <w:r>
        <w:t xml:space="preserve">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pPr/>
      <w:r>
        <w:br w:type="page"/>
      </w:r>
    </w:p>
    <w:p>
      <w:pPr>
        <w:pStyle w:val="Titre2"/>
      </w:pPr>
      <w:r>
        <w:t xml:space="preserve">eh_30fa222ec5523dcc</w:t>
      </w:r>
    </w:p>
    <w:p>
      <w:pPr>
        <w:pStyle w:val="ManuscriptBody"/>
      </w:pPr>
      <w:r>
        <w:t xml:space="preserve">Source: AVATAR long-term follow-up report</w:t>
      </w:r>
    </w:p>
    <w:p>
      <w:pPr>
        <w:pStyle w:val="ManuscriptBody"/>
      </w:pPr>
      <w:r>
        <w:t xml:space="preserve">Page: 5</w:t>
      </w:r>
    </w:p>
    <w:p>
      <w:pPr>
        <w:pStyle w:val="ManuscriptBody"/>
      </w:pPr>
      <w:r>
        <w:t xml:space="preserve">Lines: 13–24</w:t>
      </w:r>
    </w:p>
    <w:p>
      <w:pPr>
        <w:pStyle w:val="ManuscriptBody"/>
      </w:pPr>
      <w:r>
        <w:t xml:space="preserve">Source-version hash: a890f771fd05</w:t>
      </w:r>
    </w:p>
    <w:p>
      <w:pPr>
        <w:pStyle w:val="ManuscriptBody"/>
      </w:pPr>
      <w:r>
        <w:t xml:space="preserve">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pPr>
        <w:pStyle w:val="Titre2"/>
      </w:pPr>
      <w:r>
        <w:t xml:space="preserve">eh_3ce4199af9d487f3</w:t>
      </w:r>
    </w:p>
    <w:p>
      <w:pPr>
        <w:pStyle w:val="ManuscriptBody"/>
      </w:pPr>
      <w:r>
        <w:t xml:space="preserve">Source: AVATAR long-term follow-up report</w:t>
      </w:r>
    </w:p>
    <w:p>
      <w:pPr>
        <w:pStyle w:val="ManuscriptBody"/>
      </w:pPr>
      <w:r>
        <w:t xml:space="preserve">Page: 3</w:t>
      </w:r>
    </w:p>
    <w:p>
      <w:pPr>
        <w:pStyle w:val="ManuscriptBody"/>
      </w:pPr>
      <w:r>
        <w:t xml:space="preserve">Lines: 1–116</w:t>
      </w:r>
    </w:p>
    <w:p>
      <w:pPr>
        <w:pStyle w:val="ManuscriptBody"/>
      </w:pPr>
      <w:r>
        <w:t xml:space="preserve">Source-version hash: a890f771fd05</w:t>
      </w:r>
    </w:p>
    <w:p>
      <w:pPr>
        <w:pStyle w:val="ManuscriptBody"/>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pPr/>
      <w:r>
        <w:br w:type="page"/>
      </w:r>
    </w:p>
    <w:p>
      <w:pPr>
        <w:pStyle w:val="Titre2"/>
      </w:pPr>
      <w:r>
        <w:t xml:space="preserve">eh_4b5761bf573cc287</w:t>
      </w:r>
    </w:p>
    <w:p>
      <w:pPr>
        <w:pStyle w:val="ManuscriptBody"/>
      </w:pPr>
      <w:r>
        <w:t xml:space="preserve">Source: AVATAR original trial report</w:t>
      </w:r>
    </w:p>
    <w:p>
      <w:pPr>
        <w:pStyle w:val="ManuscriptBody"/>
      </w:pPr>
      <w:r>
        <w:t xml:space="preserve">Page: 4</w:t>
      </w:r>
    </w:p>
    <w:p>
      <w:pPr>
        <w:pStyle w:val="ManuscriptBody"/>
      </w:pPr>
      <w:r>
        <w:t xml:space="preserve">Lines: 8–15</w:t>
      </w:r>
    </w:p>
    <w:p>
      <w:pPr>
        <w:pStyle w:val="ManuscriptBody"/>
      </w:pPr>
      <w:r>
        <w:t xml:space="preserve">Source-version hash: 592b9a6c531c</w:t>
      </w:r>
    </w:p>
    <w:p>
      <w:pPr>
        <w:pStyle w:val="ManuscriptBody"/>
      </w:pPr>
      <w:r>
        <w:t xml:space="preserve">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pPr>
        <w:pStyle w:val="Titre2"/>
      </w:pPr>
      <w:r>
        <w:t xml:space="preserve">eh_58abdac52262aa33</w:t>
      </w:r>
    </w:p>
    <w:p>
      <w:pPr>
        <w:pStyle w:val="ManuscriptBody"/>
      </w:pPr>
      <w:r>
        <w:t xml:space="preserve">Source: AVATAR long-term follow-up report</w:t>
      </w:r>
    </w:p>
    <w:p>
      <w:pPr>
        <w:pStyle w:val="ManuscriptBody"/>
      </w:pPr>
      <w:r>
        <w:t xml:space="preserve">Page: 5</w:t>
      </w:r>
    </w:p>
    <w:p>
      <w:pPr>
        <w:pStyle w:val="ManuscriptBody"/>
      </w:pPr>
      <w:r>
        <w:t xml:space="preserve">Lines: 47–50</w:t>
      </w:r>
    </w:p>
    <w:p>
      <w:pPr>
        <w:pStyle w:val="ManuscriptBody"/>
      </w:pPr>
      <w:r>
        <w:t xml:space="preserve">Source-version hash: a890f771fd05</w:t>
      </w:r>
    </w:p>
    <w:p>
      <w:pPr>
        <w:pStyle w:val="ManuscriptBody"/>
      </w:pPr>
      <w:r>
        <w:t xml:space="preserve">Full verbatim quote: Diabetes mellitus
14 (17.9%)
23 (29.1%)
.07</w:t>
      </w:r>
    </w:p>
    <w:p>
      <w:pPr/>
      <w:r>
        <w:br w:type="page"/>
      </w:r>
    </w:p>
    <w:p>
      <w:pPr>
        <w:pStyle w:val="Titre2"/>
      </w:pPr>
      <w:r>
        <w:t xml:space="preserve">eh_7961ea6680167af2</w:t>
      </w:r>
    </w:p>
    <w:p>
      <w:pPr>
        <w:pStyle w:val="ManuscriptBody"/>
      </w:pPr>
      <w:r>
        <w:t xml:space="preserve">Source: Current registry-linked statistical analysis plan</w:t>
      </w:r>
    </w:p>
    <w:p>
      <w:pPr>
        <w:pStyle w:val="ManuscriptBody"/>
      </w:pPr>
      <w:r>
        <w:t xml:space="preserve">Page: 1</w:t>
      </w:r>
    </w:p>
    <w:p>
      <w:pPr>
        <w:pStyle w:val="ManuscriptBody"/>
      </w:pPr>
      <w:r>
        <w:t xml:space="preserve">Lines: 1–8</w:t>
      </w:r>
    </w:p>
    <w:p>
      <w:pPr>
        <w:pStyle w:val="ManuscriptBody"/>
      </w:pPr>
      <w:r>
        <w:t xml:space="preserve">Source-version hash: ba0a93294998</w:t>
      </w:r>
    </w:p>
    <w:p>
      <w:pPr>
        <w:pStyle w:val="ManuscriptBody"/>
      </w:pPr>
      <w:r>
        <w:t xml:space="preserve">Full verbatim quote: Avatar trial protocol
-Amendment to surgical delays-
Aortic Valve Replacement Versus Conservative Treatment in
Asymptomatic Severe Aortic Stenosis (AVATAR trial)
NCT number : NCT02436655.
Date of amendment: 04.01.2021</w:t>
      </w:r>
    </w:p>
    <w:p>
      <w:pPr>
        <w:pStyle w:val="Titre2"/>
      </w:pPr>
      <w:r>
        <w:t xml:space="preserve">eh_7ad155913c1c5826</w:t>
      </w:r>
    </w:p>
    <w:p>
      <w:pPr>
        <w:pStyle w:val="ManuscriptBody"/>
      </w:pPr>
      <w:r>
        <w:t xml:space="preserve">Source: AVATAR original trial report</w:t>
      </w:r>
    </w:p>
    <w:p>
      <w:pPr>
        <w:pStyle w:val="ManuscriptBody"/>
      </w:pPr>
      <w:r>
        <w:t xml:space="preserve">Page: 4</w:t>
      </w:r>
    </w:p>
    <w:p>
      <w:pPr>
        <w:pStyle w:val="ManuscriptBody"/>
      </w:pPr>
      <w:r>
        <w:t xml:space="preserve">Lines: 16–35</w:t>
      </w:r>
    </w:p>
    <w:p>
      <w:pPr>
        <w:pStyle w:val="ManuscriptBody"/>
      </w:pPr>
      <w:r>
        <w:t xml:space="preserve">Source-version hash: 592b9a6c531c</w:t>
      </w:r>
    </w:p>
    <w:p>
      <w:pPr>
        <w:pStyle w:val="ManuscriptBody"/>
      </w:pPr>
      <w:r>
        <w:t xml:space="preserve">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pPr/>
      <w:r>
        <w:br w:type="page"/>
      </w:r>
    </w:p>
    <w:p>
      <w:pPr>
        <w:pStyle w:val="Titre2"/>
      </w:pPr>
      <w:r>
        <w:t xml:space="preserve">eh_92eed84c7b98e37c</w:t>
      </w:r>
    </w:p>
    <w:p>
      <w:pPr>
        <w:pStyle w:val="ManuscriptBody"/>
      </w:pPr>
      <w:r>
        <w:t xml:space="preserve">Source: AVATAR long-term follow-up report</w:t>
      </w:r>
    </w:p>
    <w:p>
      <w:pPr>
        <w:pStyle w:val="ManuscriptBody"/>
      </w:pPr>
      <w:r>
        <w:t xml:space="preserve">Page: 5</w:t>
      </w:r>
    </w:p>
    <w:p>
      <w:pPr>
        <w:pStyle w:val="ManuscriptBody"/>
      </w:pPr>
      <w:r>
        <w:t xml:space="preserve">Lines: 26–136</w:t>
      </w:r>
    </w:p>
    <w:p>
      <w:pPr>
        <w:pStyle w:val="ManuscriptBody"/>
      </w:pPr>
      <w:r>
        <w:t xml:space="preserve">Source-version hash: a890f771fd05</w:t>
      </w:r>
    </w:p>
    <w:p>
      <w:pPr>
        <w:pStyle w:val="ManuscriptBody"/>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pPr>
        <w:pStyle w:val="Titre2"/>
      </w:pPr>
      <w:r>
        <w:t xml:space="preserve">eh_975aac3202107531</w:t>
      </w:r>
    </w:p>
    <w:p>
      <w:pPr>
        <w:pStyle w:val="ManuscriptBody"/>
      </w:pPr>
      <w:r>
        <w:t xml:space="preserve">Source: ClinicalTrials.gov NCT02436655</w:t>
      </w:r>
    </w:p>
    <w:p>
      <w:pPr>
        <w:pStyle w:val="ManuscriptBody"/>
      </w:pPr>
      <w:r>
        <w:t xml:space="preserve">Page: 1</w:t>
      </w:r>
    </w:p>
    <w:p>
      <w:pPr>
        <w:pStyle w:val="ManuscriptBody"/>
      </w:pPr>
      <w:r>
        <w:t xml:space="preserve">Lines: 67–68</w:t>
      </w:r>
    </w:p>
    <w:p>
      <w:pPr>
        <w:pStyle w:val="ManuscriptBody"/>
      </w:pPr>
      <w:r>
        <w:t xml:space="preserve">Source-version hash: d32e23eb2a1e</w:t>
      </w:r>
    </w:p>
    <w:p>
      <w:pPr>
        <w:pStyle w:val="ManuscriptBody"/>
      </w:pPr>
      <w:r>
        <w:t xml:space="preserve">Full verbatim quote: #### Masking info
- Masking: NONE</w:t>
      </w:r>
    </w:p>
    <w:p>
      <w:pPr/>
      <w:r>
        <w:br w:type="page"/>
      </w:r>
    </w:p>
    <w:p>
      <w:pPr>
        <w:pStyle w:val="Titre2"/>
      </w:pPr>
      <w:r>
        <w:t xml:space="preserve">eh_af1340e6c28a70eb</w:t>
      </w:r>
    </w:p>
    <w:p>
      <w:pPr>
        <w:pStyle w:val="ManuscriptBody"/>
      </w:pPr>
      <w:r>
        <w:t xml:space="preserve">Source: AVATAR long-term follow-up report</w:t>
      </w:r>
    </w:p>
    <w:p>
      <w:pPr>
        <w:pStyle w:val="ManuscriptBody"/>
      </w:pPr>
      <w:r>
        <w:t xml:space="preserve">Page: 7</w:t>
      </w:r>
    </w:p>
    <w:p>
      <w:pPr>
        <w:pStyle w:val="ManuscriptBody"/>
      </w:pPr>
      <w:r>
        <w:t xml:space="preserve">Lines: 1–148</w:t>
      </w:r>
    </w:p>
    <w:p>
      <w:pPr>
        <w:pStyle w:val="ManuscriptBody"/>
      </w:pPr>
      <w:r>
        <w:t xml:space="preserve">Source-version hash: a890f771fd05</w:t>
      </w:r>
    </w:p>
    <w:p>
      <w:pPr>
        <w:pStyle w:val="ManuscriptBody"/>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pPr>
        <w:pStyle w:val="Titre2"/>
      </w:pPr>
      <w:r>
        <w:t xml:space="preserve">eh_c8e0958840636206</w:t>
      </w:r>
    </w:p>
    <w:p>
      <w:pPr>
        <w:pStyle w:val="ManuscriptBody"/>
      </w:pPr>
      <w:r>
        <w:t xml:space="preserve">Source: AVATAR long-term follow-up report</w:t>
      </w:r>
    </w:p>
    <w:p>
      <w:pPr>
        <w:pStyle w:val="ManuscriptBody"/>
      </w:pPr>
      <w:r>
        <w:t xml:space="preserve">Page: 6</w:t>
      </w:r>
    </w:p>
    <w:p>
      <w:pPr>
        <w:pStyle w:val="ManuscriptBody"/>
      </w:pPr>
      <w:r>
        <w:t xml:space="preserve">Lines: 1–99</w:t>
      </w:r>
    </w:p>
    <w:p>
      <w:pPr>
        <w:pStyle w:val="ManuscriptBody"/>
      </w:pPr>
      <w:r>
        <w:t xml:space="preserve">Source-version hash: a890f771fd05</w:t>
      </w:r>
    </w:p>
    <w:p>
      <w:pPr>
        <w:pStyle w:val="ManuscriptBody"/>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pPr/>
      <w:r>
        <w:br w:type="page"/>
      </w:r>
    </w:p>
    <w:p>
      <w:pPr>
        <w:pStyle w:val="Titre2"/>
      </w:pPr>
      <w:r>
        <w:t xml:space="preserve">eh_d54a2600ddc753b3</w:t>
      </w:r>
    </w:p>
    <w:p>
      <w:pPr>
        <w:pStyle w:val="ManuscriptBody"/>
      </w:pPr>
      <w:r>
        <w:t xml:space="preserve">Source: ClinicalTrials.gov NCT02436655</w:t>
      </w:r>
    </w:p>
    <w:p>
      <w:pPr>
        <w:pStyle w:val="ManuscriptBody"/>
      </w:pPr>
      <w:r>
        <w:t xml:space="preserve">Page: 1</w:t>
      </w:r>
    </w:p>
    <w:p>
      <w:pPr>
        <w:pStyle w:val="ManuscriptBody"/>
      </w:pPr>
      <w:r>
        <w:t xml:space="preserve">Lines: 95–101</w:t>
      </w:r>
    </w:p>
    <w:p>
      <w:pPr>
        <w:pStyle w:val="ManuscriptBody"/>
      </w:pPr>
      <w:r>
        <w:t xml:space="preserve">Source-version hash: d32e23eb2a1e</w:t>
      </w:r>
    </w:p>
    <w:p>
      <w:pPr>
        <w:pStyle w:val="ManuscriptBody"/>
      </w:pPr>
      <w:r>
        <w:t xml:space="preserve">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pPr>
        <w:pStyle w:val="Titre2"/>
      </w:pPr>
      <w:r>
        <w:t xml:space="preserve">eh_d6c269341c7d8a5d</w:t>
      </w:r>
    </w:p>
    <w:p>
      <w:pPr>
        <w:pStyle w:val="ManuscriptBody"/>
      </w:pPr>
      <w:r>
        <w:t xml:space="preserve">Source: AVATAR original trial report</w:t>
      </w:r>
    </w:p>
    <w:p>
      <w:pPr>
        <w:pStyle w:val="ManuscriptBody"/>
      </w:pPr>
      <w:r>
        <w:t xml:space="preserve">Page: 3</w:t>
      </w:r>
    </w:p>
    <w:p>
      <w:pPr>
        <w:pStyle w:val="ManuscriptBody"/>
      </w:pPr>
      <w:r>
        <w:t xml:space="preserve">Lines: 46–50</w:t>
      </w:r>
    </w:p>
    <w:p>
      <w:pPr>
        <w:pStyle w:val="ManuscriptBody"/>
      </w:pPr>
      <w:r>
        <w:t xml:space="preserve">Source-version hash: 592b9a6c531c</w:t>
      </w:r>
    </w:p>
    <w:p>
      <w:pPr>
        <w:pStyle w:val="ManuscriptBody"/>
      </w:pPr>
      <w:r>
        <w:t xml:space="preserve">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pPr/>
      <w:r>
        <w:br w:type="page"/>
      </w:r>
    </w:p>
    <w:p>
      <w:pPr>
        <w:pStyle w:val="Titre2"/>
      </w:pPr>
      <w:r>
        <w:t xml:space="preserve">eh_e66d374e838e8c6d</w:t>
      </w:r>
    </w:p>
    <w:p>
      <w:pPr>
        <w:pStyle w:val="ManuscriptBody"/>
      </w:pPr>
      <w:r>
        <w:t xml:space="preserve">Source: AVATAR long-term follow-up report</w:t>
      </w:r>
    </w:p>
    <w:p>
      <w:pPr>
        <w:pStyle w:val="ManuscriptBody"/>
      </w:pPr>
      <w:r>
        <w:t xml:space="preserve">Page: 6</w:t>
      </w:r>
    </w:p>
    <w:p>
      <w:pPr>
        <w:pStyle w:val="ManuscriptBody"/>
      </w:pPr>
      <w:r>
        <w:t xml:space="preserve">Lines: 26–32</w:t>
      </w:r>
    </w:p>
    <w:p>
      <w:pPr>
        <w:pStyle w:val="ManuscriptBody"/>
      </w:pPr>
      <w:r>
        <w:t xml:space="preserve">Source-version hash: a890f771fd05</w:t>
      </w:r>
    </w:p>
    <w:p>
      <w:pPr>
        <w:pStyle w:val="ManuscriptBody"/>
      </w:pPr>
      <w:r>
        <w:t xml:space="preserve">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pPr>
        <w:pStyle w:val="Titre2"/>
      </w:pPr>
      <w:r>
        <w:t xml:space="preserve">eh_f625637d366df2a0</w:t>
      </w:r>
    </w:p>
    <w:p>
      <w:pPr>
        <w:pStyle w:val="ManuscriptBody"/>
      </w:pPr>
      <w:r>
        <w:t xml:space="preserve">Source: AVATAR original trial report</w:t>
      </w:r>
    </w:p>
    <w:p>
      <w:pPr>
        <w:pStyle w:val="ManuscriptBody"/>
      </w:pPr>
      <w:r>
        <w:t xml:space="preserve">Page: 4</w:t>
      </w:r>
    </w:p>
    <w:p>
      <w:pPr>
        <w:pStyle w:val="ManuscriptBody"/>
      </w:pPr>
      <w:r>
        <w:t xml:space="preserve">Lines: 62–69</w:t>
      </w:r>
    </w:p>
    <w:p>
      <w:pPr>
        <w:pStyle w:val="ManuscriptBody"/>
      </w:pPr>
      <w:r>
        <w:t xml:space="preserve">Source-version hash: 592b9a6c531c</w:t>
      </w:r>
    </w:p>
    <w:p>
      <w:pPr>
        <w:pStyle w:val="ManuscriptBody"/>
      </w:pPr>
      <w:r>
        <w:t xml:space="preserve">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pPr/>
      <w:r>
        <w:br w:type="page"/>
      </w:r>
    </w:p>
    <w:p>
      <w:pPr>
        <w:pStyle w:val="Titre2"/>
      </w:pPr>
      <w:r>
        <w:t xml:space="preserve">Prompt templates and run provenance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pPr>
      <w:r>
        <w:t xml:space="preserve">Model claude-sonnet-5-5, medium effort; Claude Code 2.1.278; ARBITER 1.0.0 public commit 2f549ae30f056ff441ea61a04b719968716f2219. Each trial ran once per arm. Runs used a subscription; costs are frozen-rate API list-price equivalents. The reproducibility records include the R and package versions.</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78ae5a9c57e25b338daa4773c98fbd3b9af2137.png"/>
<Relationship Id="rId8" Type="http://schemas.openxmlformats.org/officeDocument/2006/relationships/image" Target="media/26035dd4187ad59130d50a069887520f7fdfec20.png"/>
<Relationship Id="rId9" Type="http://schemas.openxmlformats.org/officeDocument/2006/relationships/image" Target="media/c5f18184bbe76bdfe624db4323fb7c7ffc2e8b6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2026-10-21T03:49:49Z</dcterms:modified>
  <cp:category/>
</cp:coreProperties>
</file>