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Independent experts agreed more often with ARBITER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792"/>
        <w:gridCol w:w="1800"/>
        <w:gridCol w:w="1800"/>
        <w:gridCol w:w="1800"/>
        <w:gridCol w:w="2160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 − Unassisted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371/510 (72.7%)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332/510 (65.1%)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301/510 (59.0%)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(5.1–10.2)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32/81 (39.5%)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21/81 (25.9%)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24/81 (29.6%)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(6.2–21.0)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433/510 (84.9%)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400/510 (78.4%)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362/510 (71.0%)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 (3.5–9.4)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60/81 (74.1%)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46/81 (56.8%)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42/81 (51.9%)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17.3 (8.6–25.9)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of experts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(4.8–9.4)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of experts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41.4%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40.7%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15.4 (8.0–22.8)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Agreed 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349/388 (89.9%)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313/388 (80.7%)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281/388 (72.4%)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 (6.3–12.2)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Agreed 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30/42 (71.4%)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21/42 (50.0%)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20/42 (47.6%)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(7.5–35.0)</w:t>
            </w:r>
          </w:p>
        </w:tc>
      </w:tr>
      <w:tr>
        <w:trPr>
          <w:cantSplit/>
          <w:trHeight w:val="70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Expert-to-expert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388/510 (76.1%)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source cell reports exact agreement n/N (%) and linearly weighted κ. Differences are ARBITER − Unassisted exact agreement in percentage points (95% CI). Overall uses the same 81 trials with observed Published Overall for every source; 21 published labels are missing and excluded. Agreed-reference Overall retains 42 of these trials. Mean of experts is the arithmetic mean of the two expert-specific estimates, not pooled independent observations; only percentages and κ are displayed for this row. Its difference is the mean of the two expert-specific paired differences; the CI is the percentile interval of their mean within each shared bootstrap replicate. The agreed reference retains cells with equal independent expert ratings (388 domain cells; 42 matched Overall trials). The expert-to-expert foot row compares the two independent ratings. Full estimates, all-trial Overall (102 trials; agreed reference 52) and all paired contrasts appear in eTable 2.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2026-10-21T04:02:36Z</dcterms:modified>
  <cp:category/>
</cp:coreProperties>
</file>