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940"/>
        <w:gridCol w:w="6523"/>
      </w:tblGrid>
      <w:tr w:rsidR="009F7598" w:rsidRPr="009F7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Pr>
              <w:rPr>
                <w:b/>
                <w:bCs/>
              </w:rPr>
            </w:pPr>
            <w:r w:rsidRPr="009F759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Pr>
              <w:rPr>
                <w:b/>
                <w:bCs/>
              </w:rPr>
            </w:pPr>
            <w:r w:rsidRPr="009F759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Pr>
              <w:rPr>
                <w:b/>
                <w:bCs/>
              </w:rPr>
            </w:pPr>
            <w:r w:rsidRPr="009F7598">
              <w:rPr>
                <w:b/>
                <w:bCs/>
              </w:rPr>
              <w:t>Description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Unique identifier for each sale transaction. Each row represents one sale event.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sale_date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datetime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The date when the sale occurred (converted from string to proper datetime). Useful for time-series forecasting.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Unique code for each Apple retail store (e.g., ST-36). Links each sale to a specific store.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Unique code for each product (e.g., P-14). Used to group or merge product-related info.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int64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Number of units of the product sold in that sale transaction.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Name of the product sold (e.g., “iPhone 13 Pro Max”, “AirPods Pro (2nd Gen)”).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launch_date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datetime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Official launch/release date of the product. Helps calculate how long the product has been on the market at the time of sale.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int64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Unit price of the product at the time of sale (may vary by location or time).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store_name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Human-readable name of the Apple Store (e.g., “Apple Regent Street”).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City where the store is located (e.g., “London”, “Dubai”).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Country of the store (e.g., “United Kingdom”, “United States”). Useful for regional analysis.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Encoded category ID for the product (e.g., CAT-2). Can be used to merge category details.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object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Product category name (e.g., “Audio”, “Laptop”, “Accessories”). Useful for aggregating sales by category.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t>sales_amount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float64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New column</w:t>
            </w:r>
            <w:r w:rsidRPr="009F7598">
              <w:t xml:space="preserve"> you created — calculated as quantity × price. Represents total sale revenue per transaction.</w:t>
            </w:r>
          </w:p>
        </w:tc>
      </w:tr>
      <w:tr w:rsidR="009F7598" w:rsidRPr="009F7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proofErr w:type="spellStart"/>
            <w:r w:rsidRPr="009F7598">
              <w:rPr>
                <w:b/>
                <w:bCs/>
              </w:rPr>
              <w:lastRenderedPageBreak/>
              <w:t>product_age_days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t>float64</w:t>
            </w:r>
          </w:p>
        </w:tc>
        <w:tc>
          <w:tcPr>
            <w:tcW w:w="0" w:type="auto"/>
            <w:vAlign w:val="center"/>
            <w:hideMark/>
          </w:tcPr>
          <w:p w:rsidR="009F7598" w:rsidRPr="009F7598" w:rsidRDefault="009F7598" w:rsidP="009F7598">
            <w:r w:rsidRPr="009F7598">
              <w:rPr>
                <w:b/>
                <w:bCs/>
              </w:rPr>
              <w:t>New column</w:t>
            </w:r>
            <w:r w:rsidRPr="009F7598">
              <w:t xml:space="preserve"> — number of days between product launch and sale date. Measures how old the product is when sold.</w:t>
            </w:r>
          </w:p>
        </w:tc>
      </w:tr>
    </w:tbl>
    <w:p w:rsidR="00E258CF" w:rsidRDefault="00E258CF"/>
    <w:sectPr w:rsidR="00E25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98"/>
    <w:rsid w:val="00104031"/>
    <w:rsid w:val="007955C6"/>
    <w:rsid w:val="009F7598"/>
    <w:rsid w:val="00A422E0"/>
    <w:rsid w:val="00E258CF"/>
    <w:rsid w:val="00F7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882EC7-CDD0-4C55-A9D3-423B47D0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sheriff</dc:creator>
  <cp:keywords/>
  <dc:description/>
  <cp:lastModifiedBy>ali sheriff</cp:lastModifiedBy>
  <cp:revision>1</cp:revision>
  <dcterms:created xsi:type="dcterms:W3CDTF">2025-10-21T16:37:00Z</dcterms:created>
  <dcterms:modified xsi:type="dcterms:W3CDTF">2025-10-21T16:38:00Z</dcterms:modified>
</cp:coreProperties>
</file>