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80" w:before="0"/>
        <w:jc w:val="center"/>
      </w:pPr>
      <w:r>
        <w:rPr>
          <w:rFonts w:ascii="Arial" w:cs="Arial" w:eastAsia="Arial" w:hAnsi="Arial"/>
          <w:b/>
          <w:bCs/>
          <w:color w:val="1B3A6B"/>
          <w:sz w:val="64"/>
          <w:szCs w:val="64"/>
        </w:rPr>
        <w:t xml:space="preserve">ConstructIQ</w:t>
      </w:r>
    </w:p>
    <w:p>
      <w:pPr>
        <w:pBdr>
          <w:bottom w:val="single" w:color="2E75B6" w:sz="6" w:space="8"/>
        </w:pBdr>
        <w:spacing w:after="40" w:before="0"/>
        <w:jc w:val="center"/>
      </w:pPr>
      <w:r>
        <w:rPr>
          <w:rFonts w:ascii="Arial" w:cs="Arial" w:eastAsia="Arial" w:hAnsi="Arial"/>
          <w:color w:val="2E75B6"/>
          <w:sz w:val="28"/>
          <w:szCs w:val="28"/>
        </w:rPr>
        <w:t xml:space="preserve">AI-Powered Construction Management Platform</w:t>
      </w:r>
    </w:p>
    <w:p>
      <w:pPr>
        <w:spacing w:after="0" w:before="80"/>
      </w:pPr>
      <w:r>
        <w:t xml:space="preserve"/>
      </w:r>
    </w:p>
    <w:p>
      <w:pPr>
        <w:spacing w:after="480" w:before="0"/>
        <w:jc w:val="center"/>
      </w:pPr>
      <w:r>
        <w:rPr>
          <w:rFonts w:ascii="Arial" w:cs="Arial" w:eastAsia="Arial" w:hAnsi="Arial"/>
          <w:i/>
          <w:iCs/>
          <w:color w:val="6B7280"/>
          <w:sz w:val="22"/>
          <w:szCs w:val="22"/>
        </w:rPr>
        <w:t xml:space="preserve">Startup Proposal  ·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2"/>
              <w:right w:val="single" w:color="2E75B6" w:sz="2"/>
            </w:tcBorders>
            <w:shd w:fill="EBF4FF" w:val="clear"/>
            <w:tcMar>
              <w:top w:type="dxa" w:w="200"/>
              <w:left w:type="dxa" w:w="280"/>
              <w:bottom w:type="dxa" w:w="200"/>
              <w:right w:type="dxa" w:w="280"/>
            </w:tcMar>
          </w:tcPr>
          <w:p>
            <w:pPr>
              <w:spacing w:after="120" w:before="0"/>
            </w:pPr>
            <w:r>
              <w:rPr>
                <w:rFonts w:ascii="Arial" w:cs="Arial" w:eastAsia="Arial" w:hAnsi="Arial"/>
                <w:b/>
                <w:bCs/>
                <w:color w:val="1B3A6B"/>
                <w:sz w:val="24"/>
                <w:szCs w:val="24"/>
              </w:rPr>
              <w:t xml:space="preserve">Executive Overview</w:t>
            </w:r>
          </w:p>
          <w:p>
            <w:pPr>
              <w:spacing w:after="80" w:before="0"/>
            </w:pPr>
            <w:r>
              <w:rPr>
                <w:rFonts w:ascii="Arial" w:cs="Arial" w:eastAsia="Arial" w:hAnsi="Arial"/>
                <w:color w:val="1A1A2E"/>
                <w:sz w:val="22"/>
                <w:szCs w:val="22"/>
              </w:rPr>
              <w:t xml:space="preserve">Construction projects worldwide fail at an alarming rate — over 80% run over budget or behind schedule. The root cause is not lack of skill but lack of visibility: fragmented communication, manual reporting, and no early warning system for risk.</w:t>
            </w:r>
          </w:p>
          <w:p>
            <w:pPr>
              <w:spacing w:after="80" w:before="0"/>
            </w:pPr>
            <w:r>
              <w:rPr>
                <w:rFonts w:ascii="Arial" w:cs="Arial" w:eastAsia="Arial" w:hAnsi="Arial"/>
                <w:color w:val="1A1A2E"/>
                <w:sz w:val="22"/>
                <w:szCs w:val="22"/>
              </w:rPr>
              <w:t xml:space="preserve">ConstructIQ is a B2B SaaS platform that gives construction companies a single operating system for their projects — combining project management, procurement, daily site reporting, and AI-powered risk intelligence in one product.</w:t>
            </w:r>
          </w:p>
          <w:p>
            <w:pPr>
              <w:spacing w:after="0" w:before="0"/>
            </w:pPr>
            <w:r>
              <w:rPr>
                <w:rFonts w:ascii="Arial" w:cs="Arial" w:eastAsia="Arial" w:hAnsi="Arial"/>
                <w:color w:val="1A1A2E"/>
                <w:sz w:val="22"/>
                <w:szCs w:val="22"/>
              </w:rPr>
              <w:t xml:space="preserve">We target mid-sized construction companies (50–500 employees) in the MENA region and emerging markets, where enterprise alternatives like Procore are too expensive or too complex to adopt.</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B3A6B"/>
                <w:sz w:val="20"/>
                <w:szCs w:val="20"/>
              </w:rPr>
              <w:t xml:space="preserve">Stage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Bootstrapped / MVP</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B3A6B"/>
                <w:sz w:val="20"/>
                <w:szCs w:val="20"/>
              </w:rPr>
              <w:t xml:space="preserve">Team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 full-stack developers, co-founders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B3A6B"/>
                <w:sz w:val="20"/>
                <w:szCs w:val="20"/>
              </w:rPr>
              <w:t xml:space="preserve">Target Market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Mid-size construction firms, MENA + emerging markets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B3A6B"/>
                <w:sz w:val="20"/>
                <w:szCs w:val="20"/>
              </w:rPr>
              <w:t xml:space="preserve">Business 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B2B SaaS, per-seat subscription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B3A6B"/>
                <w:sz w:val="20"/>
                <w:szCs w:val="20"/>
              </w:rPr>
              <w:t xml:space="preserve">MVP Timeline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10–12 weeks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B3A6B"/>
                <w:sz w:val="20"/>
                <w:szCs w:val="20"/>
              </w:rPr>
              <w:t xml:space="preserve">Revenue Target (Yr 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$150K ARR</w:t>
            </w:r>
          </w:p>
        </w:tc>
      </w:tr>
    </w:tbl>
    <w:p>
      <w:pPr>
        <w:spacing w:after="0" w:before="360"/>
      </w:pPr>
      <w:r>
        <w:t xml:space="preserve"/>
      </w:r>
    </w:p>
    <w:p>
      <w:pPr>
        <w:pStyle w:val="Heading1"/>
        <w:pBdr>
          <w:bottom w:val="single" w:color="2E75B6" w:sz="4" w:space="4"/>
        </w:pBdr>
        <w:spacing w:after="120" w:before="360"/>
      </w:pPr>
      <w:r>
        <w:rPr>
          <w:rFonts w:ascii="Arial" w:cs="Arial" w:eastAsia="Arial" w:hAnsi="Arial"/>
          <w:b/>
          <w:bCs/>
          <w:color w:val="1B3A6B"/>
          <w:sz w:val="28"/>
          <w:szCs w:val="28"/>
        </w:rPr>
        <w:t xml:space="preserve">1. The Problem</w:t>
      </w:r>
    </w:p>
    <w:p>
      <w:pPr>
        <w:spacing w:after="60" w:before="60"/>
      </w:pPr>
      <w:r>
        <w:rPr>
          <w:rFonts w:ascii="Arial" w:cs="Arial" w:eastAsia="Arial" w:hAnsi="Arial"/>
          <w:color w:val="1A1A2E"/>
          <w:sz w:val="22"/>
          <w:szCs w:val="22"/>
        </w:rPr>
        <w:t xml:space="preserve">Construction is one of the world’s largest industries — and one of the least digitized. Teams on the ground still rely on WhatsApp groups, Excel spreadsheets, and paper-based daily reports.</w:t>
      </w:r>
    </w:p>
    <w:p>
      <w:pPr>
        <w:spacing w:after="0" w:before="80"/>
      </w:pPr>
      <w:r>
        <w:t xml:space="preserve"/>
      </w:r>
    </w:p>
    <w:p>
      <w:pPr>
        <w:pStyle w:val="Heading2"/>
        <w:spacing w:after="80" w:before="240"/>
      </w:pPr>
      <w:r>
        <w:rPr>
          <w:rFonts w:ascii="Arial" w:cs="Arial" w:eastAsia="Arial" w:hAnsi="Arial"/>
          <w:b/>
          <w:bCs/>
          <w:color w:val="2E75B6"/>
          <w:sz w:val="24"/>
          <w:szCs w:val="24"/>
        </w:rPr>
        <w:t xml:space="preserve">Key Pain Points</w:t>
      </w:r>
    </w:p>
    <w:p>
      <w:pPr>
        <w:spacing w:after="60" w:before="60"/>
      </w:pPr>
      <w:r>
        <w:rPr>
          <w:rFonts w:ascii="Arial" w:cs="Arial" w:eastAsia="Arial" w:hAnsi="Arial"/>
          <w:b/>
          <w:bCs/>
          <w:color w:val="1A1A2E"/>
          <w:sz w:val="22"/>
          <w:szCs w:val="22"/>
        </w:rPr>
        <w:t xml:space="preserve">No real-time visibility.  </w:t>
      </w:r>
      <w:r>
        <w:rPr>
          <w:rFonts w:ascii="Arial" w:cs="Arial" w:eastAsia="Arial" w:hAnsi="Arial"/>
          <w:color w:val="1A1A2E"/>
          <w:sz w:val="22"/>
          <w:szCs w:val="22"/>
        </w:rPr>
        <w:t xml:space="preserve">Project managers only discover delays or budget overruns after they’ve already happened. There is no early warning system.</w:t>
      </w:r>
    </w:p>
    <w:p>
      <w:pPr>
        <w:spacing w:after="0" w:before="40"/>
      </w:pPr>
      <w:r>
        <w:t xml:space="preserve"/>
      </w:r>
    </w:p>
    <w:p>
      <w:pPr>
        <w:spacing w:after="60" w:before="60"/>
      </w:pPr>
      <w:r>
        <w:rPr>
          <w:rFonts w:ascii="Arial" w:cs="Arial" w:eastAsia="Arial" w:hAnsi="Arial"/>
          <w:b/>
          <w:bCs/>
          <w:color w:val="1A1A2E"/>
          <w:sz w:val="22"/>
          <w:szCs w:val="22"/>
        </w:rPr>
        <w:t xml:space="preserve">Manual and fragmented reporting.  </w:t>
      </w:r>
      <w:r>
        <w:rPr>
          <w:rFonts w:ascii="Arial" w:cs="Arial" w:eastAsia="Arial" w:hAnsi="Arial"/>
          <w:color w:val="1A1A2E"/>
          <w:sz w:val="22"/>
          <w:szCs w:val="22"/>
        </w:rPr>
        <w:t xml:space="preserve">Site engineers spend 1–2 hours per day filling reports that go unread. Data is lost in chat threads or email chains.</w:t>
      </w:r>
    </w:p>
    <w:p>
      <w:pPr>
        <w:spacing w:after="0" w:before="40"/>
      </w:pPr>
      <w:r>
        <w:t xml:space="preserve"/>
      </w:r>
    </w:p>
    <w:p>
      <w:pPr>
        <w:spacing w:after="60" w:before="60"/>
      </w:pPr>
      <w:r>
        <w:rPr>
          <w:rFonts w:ascii="Arial" w:cs="Arial" w:eastAsia="Arial" w:hAnsi="Arial"/>
          <w:b/>
          <w:bCs/>
          <w:color w:val="1A1A2E"/>
          <w:sz w:val="22"/>
          <w:szCs w:val="22"/>
        </w:rPr>
        <w:t xml:space="preserve">Budget leakage.  </w:t>
      </w:r>
      <w:r>
        <w:rPr>
          <w:rFonts w:ascii="Arial" w:cs="Arial" w:eastAsia="Arial" w:hAnsi="Arial"/>
          <w:color w:val="1A1A2E"/>
          <w:sz w:val="22"/>
          <w:szCs w:val="22"/>
        </w:rPr>
        <w:t xml:space="preserve">Purchase orders, supplier invoices, and deliveries are tracked in disconnected tools. Budget overruns go unnoticed until month-end.</w:t>
      </w:r>
    </w:p>
    <w:p>
      <w:pPr>
        <w:spacing w:after="0" w:before="40"/>
      </w:pPr>
      <w:r>
        <w:t xml:space="preserve"/>
      </w:r>
    </w:p>
    <w:p>
      <w:pPr>
        <w:spacing w:after="60" w:before="60"/>
      </w:pPr>
      <w:r>
        <w:rPr>
          <w:rFonts w:ascii="Arial" w:cs="Arial" w:eastAsia="Arial" w:hAnsi="Arial"/>
          <w:b/>
          <w:bCs/>
          <w:color w:val="1A1A2E"/>
          <w:sz w:val="22"/>
          <w:szCs w:val="22"/>
        </w:rPr>
        <w:t xml:space="preserve">No procurement control.  </w:t>
      </w:r>
      <w:r>
        <w:rPr>
          <w:rFonts w:ascii="Arial" w:cs="Arial" w:eastAsia="Arial" w:hAnsi="Arial"/>
          <w:color w:val="1A1A2E"/>
          <w:sz w:val="22"/>
          <w:szCs w:val="22"/>
        </w:rPr>
        <w:t xml:space="preserve">Approvals happen informally. There is no audit trail. Supplier relationships are undocumented.</w:t>
      </w:r>
    </w:p>
    <w:p>
      <w:pPr>
        <w:spacing w:after="0" w:before="40"/>
      </w:pPr>
      <w:r>
        <w:t xml:space="preserve"/>
      </w:r>
    </w:p>
    <w:p>
      <w:pPr>
        <w:spacing w:after="60" w:before="60"/>
      </w:pPr>
      <w:r>
        <w:rPr>
          <w:rFonts w:ascii="Arial" w:cs="Arial" w:eastAsia="Arial" w:hAnsi="Arial"/>
          <w:b/>
          <w:bCs/>
          <w:color w:val="1A1A2E"/>
          <w:sz w:val="22"/>
          <w:szCs w:val="22"/>
        </w:rPr>
        <w:t xml:space="preserve">No single source of truth.  </w:t>
      </w:r>
      <w:r>
        <w:rPr>
          <w:rFonts w:ascii="Arial" w:cs="Arial" w:eastAsia="Arial" w:hAnsi="Arial"/>
          <w:color w:val="1A1A2E"/>
          <w:sz w:val="22"/>
          <w:szCs w:val="22"/>
        </w:rPr>
        <w:t xml:space="preserve">Drawings, reports, issues, and decisions live in five different places. New team members waste days getting up to speed.</w:t>
      </w:r>
    </w:p>
    <w:p>
      <w:pPr>
        <w:spacing w:after="0" w:before="120"/>
      </w:pPr>
      <w:r>
        <w:t xml:space="preserve"/>
      </w:r>
    </w:p>
    <w:p>
      <w:pPr>
        <w:pStyle w:val="Heading2"/>
        <w:spacing w:after="80" w:before="240"/>
      </w:pPr>
      <w:r>
        <w:rPr>
          <w:rFonts w:ascii="Arial" w:cs="Arial" w:eastAsia="Arial" w:hAnsi="Arial"/>
          <w:b/>
          <w:bCs/>
          <w:color w:val="2E75B6"/>
          <w:sz w:val="24"/>
          <w:szCs w:val="24"/>
        </w:rPr>
        <w:t xml:space="preserve">The Cost of Inaction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r>
              <w:rPr>
                <w:rFonts w:ascii="Arial" w:cs="Arial" w:eastAsia="Arial" w:hAnsi="Arial"/>
                <w:b/>
                <w:bCs/>
                <w:color w:val="FFFFFF"/>
                <w:sz w:val="20"/>
                <w:szCs w:val="20"/>
              </w:rPr>
              <w:t xml:space="preserve">Metric</w:t>
            </w:r>
          </w:p>
        </w:tc>
        <w:tc>
          <w:tcPr>
            <w:tcW w:type="dxa" w:w="43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r>
              <w:rPr>
                <w:rFonts w:ascii="Arial" w:cs="Arial" w:eastAsia="Arial" w:hAnsi="Arial"/>
                <w:b/>
                <w:bCs/>
                <w:color w:val="FFFFFF"/>
                <w:sz w:val="20"/>
                <w:szCs w:val="20"/>
              </w:rPr>
              <w:t xml:space="preserve">Impact</w:t>
            </w:r>
          </w:p>
        </w:tc>
      </w:tr>
      <w:tr>
        <w:trPr>
          <w:tblHeader w:val="false"/>
        </w:trPr>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Average project budget overrun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20%+</w:t>
            </w:r>
          </w:p>
        </w:tc>
      </w:tr>
      <w:tr>
        <w:trPr>
          <w:tblHeader w:val="false"/>
        </w:trPr>
        <w:tc>
          <w:tcPr>
            <w:tcW w:type="dxa" w:w="5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Rework caused by poor communication</w:t>
            </w:r>
          </w:p>
        </w:tc>
        <w:tc>
          <w:tcPr>
            <w:tcW w:type="dxa" w:w="4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52% of total rework (FMI)</w:t>
            </w:r>
          </w:p>
        </w:tc>
      </w:tr>
      <w:tr>
        <w:trPr>
          <w:tblHeader w:val="false"/>
        </w:trPr>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Daily coordination time lost per PM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2–3 hours per day</w:t>
            </w:r>
          </w:p>
        </w:tc>
      </w:tr>
    </w:tbl>
    <w:p>
      <w:pPr>
        <w:spacing w:after="0" w:before="360"/>
      </w:pPr>
      <w:r>
        <w:t xml:space="preserve"/>
      </w:r>
    </w:p>
    <w:p>
      <w:pPr>
        <w:pStyle w:val="Heading1"/>
        <w:pBdr>
          <w:bottom w:val="single" w:color="2E75B6" w:sz="4" w:space="4"/>
        </w:pBdr>
        <w:spacing w:after="120" w:before="360"/>
      </w:pPr>
      <w:r>
        <w:rPr>
          <w:rFonts w:ascii="Arial" w:cs="Arial" w:eastAsia="Arial" w:hAnsi="Arial"/>
          <w:b/>
          <w:bCs/>
          <w:color w:val="1B3A6B"/>
          <w:sz w:val="28"/>
          <w:szCs w:val="28"/>
        </w:rPr>
        <w:t xml:space="preserve">2. The Solution</w:t>
      </w:r>
    </w:p>
    <w:p>
      <w:pPr>
        <w:spacing w:after="60" w:before="60"/>
      </w:pPr>
      <w:r>
        <w:rPr>
          <w:rFonts w:ascii="Arial" w:cs="Arial" w:eastAsia="Arial" w:hAnsi="Arial"/>
          <w:color w:val="1A1A2E"/>
          <w:sz w:val="22"/>
          <w:szCs w:val="22"/>
        </w:rPr>
        <w:t xml:space="preserve">ConstructIQ gives construction teams one platform to run their entire project operation.</w:t>
      </w:r>
    </w:p>
    <w:p>
      <w:pPr>
        <w:spacing w:after="0" w:before="80"/>
      </w:pPr>
      <w:r>
        <w:t xml:space="preserve"/>
      </w:r>
    </w:p>
    <w:p>
      <w:pPr>
        <w:pStyle w:val="Heading2"/>
        <w:spacing w:after="80" w:before="240"/>
      </w:pPr>
      <w:r>
        <w:rPr>
          <w:rFonts w:ascii="Arial" w:cs="Arial" w:eastAsia="Arial" w:hAnsi="Arial"/>
          <w:b/>
          <w:bCs/>
          <w:color w:val="2E75B6"/>
          <w:sz w:val="24"/>
          <w:szCs w:val="24"/>
        </w:rPr>
        <w:t xml:space="preserve">Core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r>
              <w:rPr>
                <w:rFonts w:ascii="Arial" w:cs="Arial" w:eastAsia="Arial" w:hAnsi="Arial"/>
                <w:b/>
                <w:bCs/>
                <w:color w:val="FFFFFF"/>
                <w:sz w:val="20"/>
                <w:szCs w:val="20"/>
              </w:rPr>
              <w:t xml:space="preserve">Capability</w:t>
            </w:r>
          </w:p>
        </w:tc>
        <w:tc>
          <w:tcPr>
            <w:tcW w:type="dxa" w:w="63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r>
              <w:rPr>
                <w:rFonts w:ascii="Arial" w:cs="Arial" w:eastAsia="Arial" w:hAnsi="Arial"/>
                <w:b/>
                <w:bCs/>
                <w:color w:val="FFFFFF"/>
                <w:sz w:val="20"/>
                <w:szCs w:val="20"/>
              </w:rPr>
              <w:t xml:space="preserve">Description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Project &amp; Task Management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Structured phases, milestones, and task tracking with dependencies. Teams always know what is due, who owns it, and what is blocked.</w:t>
            </w:r>
          </w:p>
        </w:tc>
      </w:tr>
      <w:tr>
        <w:trPr>
          <w:tblHeader w:val="false"/>
        </w:trPr>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Daily Site Reporting</w:t>
            </w:r>
          </w:p>
        </w:tc>
        <w:tc>
          <w:tcPr>
            <w:tcW w:type="dxa" w:w="6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Site engineers submit structured reports in minutes — manpower, materials, weather, progress. Reports are auto-aggregated and summarized.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Issue Tracking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Issues are logged, assigned, and tracked to resolution. Nothing falls through the cracks.</w:t>
            </w:r>
          </w:p>
        </w:tc>
      </w:tr>
      <w:tr>
        <w:trPr>
          <w:tblHeader w:val="false"/>
        </w:trPr>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Budget &amp; Procurement</w:t>
            </w:r>
          </w:p>
        </w:tc>
        <w:tc>
          <w:tcPr>
            <w:tcW w:type="dxa" w:w="6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Full budget visibility with line items. Purchase orders, supplier management, and delivery tracking in one place.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Document Management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Central repository for drawings, contracts, and reports — linked to projects and searchable.</w:t>
            </w:r>
          </w:p>
        </w:tc>
      </w:tr>
      <w:tr>
        <w:trPr>
          <w:tblHeader w:val="false"/>
        </w:trPr>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AI Intelligence Layer</w:t>
            </w:r>
          </w:p>
        </w:tc>
        <w:tc>
          <w:tcPr>
            <w:tcW w:type="dxa" w:w="6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Auto-generated summaries, rule-based risk signals, and a chat assistant for querying project data in plain language.</w:t>
            </w:r>
          </w:p>
        </w:tc>
      </w:tr>
    </w:tbl>
    <w:p>
      <w:pPr>
        <w:spacing w:after="0" w:before="360"/>
      </w:pPr>
      <w:r>
        <w:t xml:space="preserve"/>
      </w:r>
    </w:p>
    <w:p>
      <w:pPr>
        <w:pStyle w:val="Heading1"/>
        <w:pBdr>
          <w:bottom w:val="single" w:color="2E75B6" w:sz="4" w:space="4"/>
        </w:pBdr>
        <w:spacing w:after="120" w:before="360"/>
      </w:pPr>
      <w:r>
        <w:rPr>
          <w:rFonts w:ascii="Arial" w:cs="Arial" w:eastAsia="Arial" w:hAnsi="Arial"/>
          <w:b/>
          <w:bCs/>
          <w:color w:val="1B3A6B"/>
          <w:sz w:val="28"/>
          <w:szCs w:val="28"/>
        </w:rPr>
        <w:t xml:space="preserve">3. Market Opportunity</w:t>
      </w:r>
    </w:p>
    <w:p>
      <w:pPr>
        <w:pStyle w:val="Heading2"/>
        <w:spacing w:after="80" w:before="240"/>
      </w:pPr>
      <w:r>
        <w:rPr>
          <w:rFonts w:ascii="Arial" w:cs="Arial" w:eastAsia="Arial" w:hAnsi="Arial"/>
          <w:b/>
          <w:bCs/>
          <w:color w:val="2E75B6"/>
          <w:sz w:val="24"/>
          <w:szCs w:val="24"/>
        </w:rPr>
        <w:t xml:space="preserve">Target Market</w:t>
      </w:r>
    </w:p>
    <w:p>
      <w:pPr>
        <w:spacing w:after="60" w:before="60"/>
      </w:pPr>
      <w:r>
        <w:rPr>
          <w:rFonts w:ascii="Arial" w:cs="Arial" w:eastAsia="Arial" w:hAnsi="Arial"/>
          <w:b/>
          <w:bCs/>
          <w:color w:val="1A1A2E"/>
          <w:sz w:val="22"/>
          <w:szCs w:val="22"/>
        </w:rPr>
        <w:t xml:space="preserve">Primary:  </w:t>
      </w:r>
      <w:r>
        <w:rPr>
          <w:rFonts w:ascii="Arial" w:cs="Arial" w:eastAsia="Arial" w:hAnsi="Arial"/>
          <w:color w:val="1A1A2E"/>
          <w:sz w:val="22"/>
          <w:szCs w:val="22"/>
        </w:rPr>
        <w:t xml:space="preserve">Mid-size construction companies in MENA (UAE, Saudi Arabia, Lebanon, Egypt, Jordan) with 50–500 employees and 5–50 active projects.</w:t>
      </w:r>
    </w:p>
    <w:p>
      <w:pPr>
        <w:spacing w:after="0" w:before="40"/>
      </w:pPr>
      <w:r>
        <w:t xml:space="preserve"/>
      </w:r>
    </w:p>
    <w:p>
      <w:pPr>
        <w:spacing w:after="60" w:before="60"/>
      </w:pPr>
      <w:r>
        <w:rPr>
          <w:rFonts w:ascii="Arial" w:cs="Arial" w:eastAsia="Arial" w:hAnsi="Arial"/>
          <w:b/>
          <w:bCs/>
          <w:color w:val="1A1A2E"/>
          <w:sz w:val="22"/>
          <w:szCs w:val="22"/>
        </w:rPr>
        <w:t xml:space="preserve">Secondary:  </w:t>
      </w:r>
      <w:r>
        <w:rPr>
          <w:rFonts w:ascii="Arial" w:cs="Arial" w:eastAsia="Arial" w:hAnsi="Arial"/>
          <w:color w:val="1A1A2E"/>
          <w:sz w:val="22"/>
          <w:szCs w:val="22"/>
        </w:rPr>
        <w:t xml:space="preserve">Similar-profile companies in Southeast Asia, Africa, and Eastern Europe where Procore-tier pricing is prohibitive.</w:t>
      </w:r>
    </w:p>
    <w:p>
      <w:pPr>
        <w:spacing w:after="0" w:before="120"/>
      </w:pPr>
      <w:r>
        <w:t xml:space="preserve"/>
      </w:r>
    </w:p>
    <w:p>
      <w:pPr>
        <w:pStyle w:val="Heading2"/>
        <w:spacing w:after="80" w:before="240"/>
      </w:pPr>
      <w:r>
        <w:rPr>
          <w:rFonts w:ascii="Arial" w:cs="Arial" w:eastAsia="Arial" w:hAnsi="Arial"/>
          <w:b/>
          <w:bCs/>
          <w:color w:val="2E75B6"/>
          <w:sz w:val="24"/>
          <w:szCs w:val="24"/>
        </w:rPr>
        <w:t xml:space="preserve">Market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rPr>
          <w:tblHeader/>
        </w:trPr>
        <w:tc>
          <w:tcPr>
            <w:tcW w:type="dxa" w:w="55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r>
              <w:rPr>
                <w:rFonts w:ascii="Arial" w:cs="Arial" w:eastAsia="Arial" w:hAnsi="Arial"/>
                <w:b/>
                <w:bCs/>
                <w:color w:val="FFFFFF"/>
                <w:sz w:val="20"/>
                <w:szCs w:val="20"/>
              </w:rPr>
              <w:t xml:space="preserve">Segment</w:t>
            </w:r>
          </w:p>
        </w:tc>
        <w:tc>
          <w:tcPr>
            <w:tcW w:type="dxa" w:w="38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r>
              <w:rPr>
                <w:rFonts w:ascii="Arial" w:cs="Arial" w:eastAsia="Arial" w:hAnsi="Arial"/>
                <w:b/>
                <w:bCs/>
                <w:color w:val="FFFFFF"/>
                <w:sz w:val="20"/>
                <w:szCs w:val="20"/>
              </w:rPr>
              <w:t xml:space="preserve">Estimate</w:t>
            </w:r>
          </w:p>
        </w:tc>
      </w:tr>
      <w:tr>
        <w:trPr>
          <w:tblHeader w:val="false"/>
        </w:trPr>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Construction companies in MENA (50–500 employees)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~35,000</w:t>
            </w:r>
          </w:p>
        </w:tc>
      </w:tr>
      <w:tr>
        <w:trPr>
          <w:tblHeader w:val="false"/>
        </w:trPr>
        <w:tc>
          <w:tcPr>
            <w:tcW w:type="dxa" w:w="5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Addressable (willing to pay for software)</w:t>
            </w:r>
          </w:p>
        </w:tc>
        <w:tc>
          <w:tcPr>
            <w:tcW w:type="dxa" w:w="3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~8,000</w:t>
            </w:r>
          </w:p>
        </w:tc>
      </w:tr>
      <w:tr>
        <w:trPr>
          <w:tblHeader w:val="false"/>
        </w:trPr>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Initial target (Year 1–2)</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50–150 companies</w:t>
            </w:r>
          </w:p>
        </w:tc>
      </w:tr>
    </w:tbl>
    <w:p>
      <w:pPr>
        <w:spacing w:after="0" w:before="120"/>
      </w:pPr>
      <w:r>
        <w:t xml:space="preserve"/>
      </w:r>
    </w:p>
    <w:p>
      <w:pPr>
        <w:pStyle w:val="Heading2"/>
        <w:spacing w:after="80" w:before="240"/>
      </w:pPr>
      <w:r>
        <w:rPr>
          <w:rFonts w:ascii="Arial" w:cs="Arial" w:eastAsia="Arial" w:hAnsi="Arial"/>
          <w:b/>
          <w:bCs/>
          <w:color w:val="2E75B6"/>
          <w:sz w:val="24"/>
          <w:szCs w:val="24"/>
        </w:rPr>
        <w:t xml:space="preserve">Why Now</w:t>
      </w:r>
    </w:p>
    <w:p>
      <w:pPr>
        <w:pStyle w:val="ListParagraph"/>
        <w:numPr>
          <w:ilvl w:val="0"/>
          <w:numId w:val="2"/>
        </w:numPr>
        <w:spacing w:after="40" w:before="40"/>
      </w:pPr>
      <w:r>
        <w:rPr>
          <w:rFonts w:ascii="Arial" w:cs="Arial" w:eastAsia="Arial" w:hAnsi="Arial"/>
          <w:b w:val="false"/>
          <w:bCs w:val="false"/>
          <w:color w:val="1A1A2E"/>
          <w:sz w:val="22"/>
          <w:szCs w:val="22"/>
        </w:rPr>
        <w:t xml:space="preserve">Cloud adoption among construction SMEs has accelerated post-COVID</w:t>
      </w:r>
    </w:p>
    <w:p>
      <w:pPr>
        <w:pStyle w:val="ListParagraph"/>
        <w:numPr>
          <w:ilvl w:val="0"/>
          <w:numId w:val="2"/>
        </w:numPr>
        <w:spacing w:after="40" w:before="40"/>
      </w:pPr>
      <w:r>
        <w:rPr>
          <w:rFonts w:ascii="Arial" w:cs="Arial" w:eastAsia="Arial" w:hAnsi="Arial"/>
          <w:b w:val="false"/>
          <w:bCs w:val="false"/>
          <w:color w:val="1A1A2E"/>
          <w:sz w:val="22"/>
          <w:szCs w:val="22"/>
        </w:rPr>
        <w:t xml:space="preserve">AI tools have become affordable to integrate at the SME tier</w:t>
      </w:r>
    </w:p>
    <w:p>
      <w:pPr>
        <w:pStyle w:val="ListParagraph"/>
        <w:numPr>
          <w:ilvl w:val="0"/>
          <w:numId w:val="2"/>
        </w:numPr>
        <w:spacing w:after="40" w:before="40"/>
      </w:pPr>
      <w:r>
        <w:rPr>
          <w:rFonts w:ascii="Arial" w:cs="Arial" w:eastAsia="Arial" w:hAnsi="Arial"/>
          <w:b w:val="false"/>
          <w:bCs w:val="false"/>
          <w:color w:val="1A1A2E"/>
          <w:sz w:val="22"/>
          <w:szCs w:val="22"/>
        </w:rPr>
        <w:t xml:space="preserve">Procore’s minimum contract starts at ~$50K/year — far out of reach for most MENA firms</w:t>
      </w:r>
    </w:p>
    <w:p>
      <w:pPr>
        <w:pStyle w:val="ListParagraph"/>
        <w:numPr>
          <w:ilvl w:val="0"/>
          <w:numId w:val="2"/>
        </w:numPr>
        <w:spacing w:after="40" w:before="40"/>
      </w:pPr>
      <w:r>
        <w:rPr>
          <w:rFonts w:ascii="Arial" w:cs="Arial" w:eastAsia="Arial" w:hAnsi="Arial"/>
          <w:b w:val="false"/>
          <w:bCs w:val="false"/>
          <w:color w:val="1A1A2E"/>
          <w:sz w:val="22"/>
          <w:szCs w:val="22"/>
        </w:rPr>
        <w:t xml:space="preserve">No dominant local player has emerged in this segment</w:t>
      </w:r>
    </w:p>
    <w:p>
      <w:pPr>
        <w:spacing w:after="0" w:before="360"/>
      </w:pPr>
      <w:r>
        <w:t xml:space="preserve"/>
      </w:r>
    </w:p>
    <w:p>
      <w:pPr>
        <w:pStyle w:val="Heading1"/>
        <w:pBdr>
          <w:bottom w:val="single" w:color="2E75B6" w:sz="4" w:space="4"/>
        </w:pBdr>
        <w:spacing w:after="120" w:before="360"/>
      </w:pPr>
      <w:r>
        <w:rPr>
          <w:rFonts w:ascii="Arial" w:cs="Arial" w:eastAsia="Arial" w:hAnsi="Arial"/>
          <w:b/>
          <w:bCs/>
          <w:color w:val="1B3A6B"/>
          <w:sz w:val="28"/>
          <w:szCs w:val="28"/>
        </w:rPr>
        <w:t xml:space="preserve">4.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500"/>
        <w:gridCol w:w="1400"/>
        <w:gridCol w:w="26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r>
              <w:rPr>
                <w:rFonts w:ascii="Arial" w:cs="Arial" w:eastAsia="Arial" w:hAnsi="Arial"/>
                <w:b/>
                <w:bCs/>
                <w:color w:val="FFFFFF"/>
                <w:sz w:val="20"/>
                <w:szCs w:val="20"/>
              </w:rPr>
              <w:t xml:space="preserve">Product</w:t>
            </w:r>
          </w:p>
        </w:tc>
        <w:tc>
          <w:tcPr>
            <w:tcW w:type="dxa" w:w="16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r>
              <w:rPr>
                <w:rFonts w:ascii="Arial" w:cs="Arial" w:eastAsia="Arial" w:hAnsi="Arial"/>
                <w:b/>
                <w:bCs/>
                <w:color w:val="FFFFFF"/>
                <w:sz w:val="20"/>
                <w:szCs w:val="20"/>
              </w:rPr>
              <w:t xml:space="preserve">Pricing</w:t>
            </w:r>
          </w:p>
        </w:tc>
        <w:tc>
          <w:tcPr>
            <w:tcW w:type="dxa" w:w="15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r>
              <w:rPr>
                <w:rFonts w:ascii="Arial" w:cs="Arial" w:eastAsia="Arial" w:hAnsi="Arial"/>
                <w:b/>
                <w:bCs/>
                <w:color w:val="FFFFFF"/>
                <w:sz w:val="20"/>
                <w:szCs w:val="20"/>
              </w:rPr>
              <w:t xml:space="preserve">MENA SME Fit</w:t>
            </w:r>
          </w:p>
        </w:tc>
        <w:tc>
          <w:tcPr>
            <w:tcW w:type="dxa" w:w="1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r>
              <w:rPr>
                <w:rFonts w:ascii="Arial" w:cs="Arial" w:eastAsia="Arial" w:hAnsi="Arial"/>
                <w:b/>
                <w:bCs/>
                <w:color w:val="FFFFFF"/>
                <w:sz w:val="20"/>
                <w:szCs w:val="20"/>
              </w:rPr>
              <w:t xml:space="preserve">AI Features</w:t>
            </w:r>
          </w:p>
        </w:tc>
        <w:tc>
          <w:tcPr>
            <w:tcW w:type="dxa" w:w="26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r>
              <w:rPr>
                <w:rFonts w:ascii="Arial" w:cs="Arial" w:eastAsia="Arial" w:hAnsi="Arial"/>
                <w:b/>
                <w:bCs/>
                <w:color w:val="FFFFFF"/>
                <w:sz w:val="20"/>
                <w:szCs w:val="20"/>
              </w:rPr>
              <w:t xml:space="preserve">Verdict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Procore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$50K+/year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Too expensive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Limited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Enterprise only</w:t>
            </w:r>
          </w:p>
        </w:tc>
      </w:tr>
      <w:tr>
        <w:trPr>
          <w:tblHeader w:val="false"/>
        </w:trP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Buildertrend</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~$500/month</w:t>
            </w:r>
          </w:p>
        </w:tc>
        <w:tc>
          <w:tcPr>
            <w:tcW w:type="dxa" w:w="1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US-focused</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Basic</w:t>
            </w:r>
          </w:p>
        </w:tc>
        <w:tc>
          <w:tcPr>
            <w:tcW w:type="dxa" w:w="26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Residential focus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PlanGrid (Autodesk)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~$1,200/user/yr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Too expensive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Limited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Large GCs only</w:t>
            </w:r>
          </w:p>
        </w:tc>
      </w:tr>
      <w:tr>
        <w:trPr>
          <w:tblHeader w:val="false"/>
        </w:trP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Monday.com</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$20–40/user/mo</w:t>
            </w:r>
          </w:p>
        </w:tc>
        <w:tc>
          <w:tcPr>
            <w:tcW w:type="dxa" w:w="1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Generic</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Basic</w:t>
            </w:r>
          </w:p>
        </w:tc>
        <w:tc>
          <w:tcPr>
            <w:tcW w:type="dxa" w:w="26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No domain depth</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Spreadsheets/WhatsApp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Free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Widely used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None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Our real competitor</w:t>
            </w:r>
          </w:p>
        </w:tc>
      </w:tr>
    </w:tbl>
    <w:p>
      <w:pPr>
        <w:spacing w:after="0" w:before="120"/>
      </w:pPr>
      <w:r>
        <w:t xml:space="preserve"/>
      </w:r>
    </w:p>
    <w:p>
      <w:pPr>
        <w:pStyle w:val="Heading2"/>
        <w:spacing w:after="80" w:before="240"/>
      </w:pPr>
      <w:r>
        <w:rPr>
          <w:rFonts w:ascii="Arial" w:cs="Arial" w:eastAsia="Arial" w:hAnsi="Arial"/>
          <w:b/>
          <w:bCs/>
          <w:color w:val="2E75B6"/>
          <w:sz w:val="24"/>
          <w:szCs w:val="24"/>
        </w:rPr>
        <w:t xml:space="preserve">Our Differentiation</w:t>
      </w:r>
    </w:p>
    <w:p>
      <w:pPr>
        <w:pStyle w:val="ListParagraph"/>
        <w:numPr>
          <w:ilvl w:val="0"/>
          <w:numId w:val="2"/>
        </w:numPr>
        <w:spacing w:after="40" w:before="40"/>
      </w:pPr>
      <w:r>
        <w:rPr>
          <w:rFonts w:ascii="Arial" w:cs="Arial" w:eastAsia="Arial" w:hAnsi="Arial"/>
          <w:b w:val="false"/>
          <w:bCs w:val="false"/>
          <w:color w:val="1A1A2E"/>
          <w:sz w:val="22"/>
          <w:szCs w:val="22"/>
        </w:rPr>
        <w:t xml:space="preserve">Construction-native — not a generic project tool adapted for construction</w:t>
      </w:r>
    </w:p>
    <w:p>
      <w:pPr>
        <w:pStyle w:val="ListParagraph"/>
        <w:numPr>
          <w:ilvl w:val="0"/>
          <w:numId w:val="2"/>
        </w:numPr>
        <w:spacing w:after="40" w:before="40"/>
      </w:pPr>
      <w:r>
        <w:rPr>
          <w:rFonts w:ascii="Arial" w:cs="Arial" w:eastAsia="Arial" w:hAnsi="Arial"/>
          <w:b w:val="false"/>
          <w:bCs w:val="false"/>
          <w:color w:val="1A1A2E"/>
          <w:sz w:val="22"/>
          <w:szCs w:val="22"/>
        </w:rPr>
        <w:t xml:space="preserve">AI-first from day one — not bolted on as an afterthought</w:t>
      </w:r>
    </w:p>
    <w:p>
      <w:pPr>
        <w:pStyle w:val="ListParagraph"/>
        <w:numPr>
          <w:ilvl w:val="0"/>
          <w:numId w:val="2"/>
        </w:numPr>
        <w:spacing w:after="40" w:before="40"/>
      </w:pPr>
      <w:r>
        <w:rPr>
          <w:rFonts w:ascii="Arial" w:cs="Arial" w:eastAsia="Arial" w:hAnsi="Arial"/>
          <w:b w:val="false"/>
          <w:bCs w:val="false"/>
          <w:color w:val="1A1A2E"/>
          <w:sz w:val="22"/>
          <w:szCs w:val="22"/>
        </w:rPr>
        <w:t xml:space="preserve">Priced for MENA SMEs — $30–80/user/month with team-based plans</w:t>
      </w:r>
    </w:p>
    <w:p>
      <w:pPr>
        <w:pStyle w:val="ListParagraph"/>
        <w:numPr>
          <w:ilvl w:val="0"/>
          <w:numId w:val="2"/>
        </w:numPr>
        <w:spacing w:after="40" w:before="40"/>
      </w:pPr>
      <w:r>
        <w:rPr>
          <w:rFonts w:ascii="Arial" w:cs="Arial" w:eastAsia="Arial" w:hAnsi="Arial"/>
          <w:b w:val="false"/>
          <w:bCs w:val="false"/>
          <w:color w:val="1A1A2E"/>
          <w:sz w:val="22"/>
          <w:szCs w:val="22"/>
        </w:rPr>
        <w:t xml:space="preserve">Arabic-language support planned for Year 1 rollout</w:t>
      </w:r>
    </w:p>
    <w:p>
      <w:pPr>
        <w:pStyle w:val="ListParagraph"/>
        <w:numPr>
          <w:ilvl w:val="0"/>
          <w:numId w:val="2"/>
        </w:numPr>
        <w:spacing w:after="40" w:before="40"/>
      </w:pPr>
      <w:r>
        <w:rPr>
          <w:rFonts w:ascii="Arial" w:cs="Arial" w:eastAsia="Arial" w:hAnsi="Arial"/>
          <w:b w:val="false"/>
          <w:bCs w:val="false"/>
          <w:color w:val="1A1A2E"/>
          <w:sz w:val="22"/>
          <w:szCs w:val="22"/>
        </w:rPr>
        <w:t xml:space="preserve">Fast to deploy — no 6-month onboarding process</w:t>
      </w:r>
    </w:p>
    <w:p>
      <w:pPr>
        <w:spacing w:after="0" w:before="360"/>
      </w:pPr>
      <w:r>
        <w:t xml:space="preserve"/>
      </w:r>
    </w:p>
    <w:p>
      <w:pPr>
        <w:pStyle w:val="Heading1"/>
        <w:pBdr>
          <w:bottom w:val="single" w:color="2E75B6" w:sz="4" w:space="4"/>
        </w:pBdr>
        <w:spacing w:after="120" w:before="360"/>
      </w:pPr>
      <w:r>
        <w:rPr>
          <w:rFonts w:ascii="Arial" w:cs="Arial" w:eastAsia="Arial" w:hAnsi="Arial"/>
          <w:b/>
          <w:bCs/>
          <w:color w:val="1B3A6B"/>
          <w:sz w:val="28"/>
          <w:szCs w:val="28"/>
        </w:rPr>
        <w:t xml:space="preserve">5. Business Model</w:t>
      </w:r>
    </w:p>
    <w:p>
      <w:pPr>
        <w:pStyle w:val="Heading2"/>
        <w:spacing w:after="80" w:before="240"/>
      </w:pPr>
      <w:r>
        <w:rPr>
          <w:rFonts w:ascii="Arial" w:cs="Arial" w:eastAsia="Arial" w:hAnsi="Arial"/>
          <w:b/>
          <w:bCs/>
          <w:color w:val="2E75B6"/>
          <w:sz w:val="24"/>
          <w:szCs w:val="24"/>
        </w:rPr>
        <w:t xml:space="preserve">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r>
              <w:rPr>
                <w:rFonts w:ascii="Arial" w:cs="Arial" w:eastAsia="Arial" w:hAnsi="Arial"/>
                <w:b/>
                <w:bCs/>
                <w:color w:val="FFFFFF"/>
                <w:sz w:val="20"/>
                <w:szCs w:val="20"/>
              </w:rPr>
              <w:t xml:space="preserve">Plan</w:t>
            </w:r>
          </w:p>
        </w:tc>
        <w:tc>
          <w:tcPr>
            <w:tcW w:type="dxa" w:w="25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r>
              <w:rPr>
                <w:rFonts w:ascii="Arial" w:cs="Arial" w:eastAsia="Arial" w:hAnsi="Arial"/>
                <w:b/>
                <w:bCs/>
                <w:color w:val="FFFFFF"/>
                <w:sz w:val="20"/>
                <w:szCs w:val="20"/>
              </w:rPr>
              <w:t xml:space="preserve">Price</w:t>
            </w:r>
          </w:p>
        </w:tc>
        <w:tc>
          <w:tcPr>
            <w:tcW w:type="dxa" w:w="43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r>
              <w:rPr>
                <w:rFonts w:ascii="Arial" w:cs="Arial" w:eastAsia="Arial" w:hAnsi="Arial"/>
                <w:b/>
                <w:bCs/>
                <w:color w:val="FFFFFF"/>
                <w:sz w:val="20"/>
                <w:szCs w:val="20"/>
              </w:rPr>
              <w:t xml:space="preserve">Target</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Starter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$30/user/month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Small teams, 1–3 active projects</w:t>
            </w:r>
          </w:p>
        </w:tc>
      </w:tr>
      <w:tr>
        <w:trPr>
          <w:tblHeader w:val="false"/>
        </w:trPr>
        <w:tc>
          <w:tcPr>
            <w:tcW w:type="dxa" w:w="2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Growth</w:t>
            </w:r>
          </w:p>
        </w:tc>
        <w:tc>
          <w:tcPr>
            <w:tcW w:type="dxa" w:w="2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$55/user/month</w:t>
            </w:r>
          </w:p>
        </w:tc>
        <w:tc>
          <w:tcPr>
            <w:tcW w:type="dxa" w:w="4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4–15 active projects, full AI features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Enterprise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Custom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15+ projects, custom roles, SSO, SLA</w:t>
            </w:r>
          </w:p>
        </w:tc>
      </w:tr>
    </w:tbl>
    <w:p>
      <w:pPr>
        <w:spacing w:after="0" w:before="80"/>
      </w:pPr>
      <w:r>
        <w:t xml:space="preserve"/>
      </w:r>
    </w:p>
    <w:p>
      <w:pPr>
        <w:spacing w:after="60" w:before="60"/>
      </w:pPr>
      <w:r>
        <w:rPr>
          <w:rFonts w:ascii="Arial" w:cs="Arial" w:eastAsia="Arial" w:hAnsi="Arial"/>
          <w:color w:val="1A1A2E"/>
          <w:sz w:val="22"/>
          <w:szCs w:val="22"/>
        </w:rPr>
        <w:t xml:space="preserve">Minimum viable contract: </w:t>
      </w:r>
      <w:r>
        <w:rPr>
          <w:rFonts w:ascii="Arial" w:cs="Arial" w:eastAsia="Arial" w:hAnsi="Arial"/>
          <w:b/>
          <w:bCs/>
          <w:color w:val="1A1A2E"/>
          <w:sz w:val="22"/>
          <w:szCs w:val="22"/>
        </w:rPr>
        <w:t xml:space="preserve">5 users = $150–$275/month per company</w:t>
      </w:r>
    </w:p>
    <w:p>
      <w:pPr>
        <w:spacing w:after="0" w:before="120"/>
      </w:pPr>
      <w:r>
        <w:t xml:space="preserve"/>
      </w:r>
    </w:p>
    <w:p>
      <w:pPr>
        <w:pStyle w:val="Heading2"/>
        <w:spacing w:after="80" w:before="240"/>
      </w:pPr>
      <w:r>
        <w:rPr>
          <w:rFonts w:ascii="Arial" w:cs="Arial" w:eastAsia="Arial" w:hAnsi="Arial"/>
          <w:b/>
          <w:bCs/>
          <w:color w:val="2E75B6"/>
          <w:sz w:val="24"/>
          <w:szCs w:val="24"/>
        </w:rPr>
        <w:t xml:space="preserve">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r>
              <w:rPr>
                <w:rFonts w:ascii="Arial" w:cs="Arial" w:eastAsia="Arial" w:hAnsi="Arial"/>
                <w:b/>
                <w:bCs/>
                <w:color w:val="FFFFFF"/>
                <w:sz w:val="20"/>
                <w:szCs w:val="20"/>
              </w:rPr>
              <w:t xml:space="preserve">Year</w:t>
            </w:r>
          </w:p>
        </w:tc>
        <w:tc>
          <w:tcPr>
            <w:tcW w:type="dxa" w:w="2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r>
              <w:rPr>
                <w:rFonts w:ascii="Arial" w:cs="Arial" w:eastAsia="Arial" w:hAnsi="Arial"/>
                <w:b/>
                <w:bCs/>
                <w:color w:val="FFFFFF"/>
                <w:sz w:val="20"/>
                <w:szCs w:val="20"/>
              </w:rPr>
              <w:t xml:space="preserve">Companies</w:t>
            </w:r>
          </w:p>
        </w:tc>
        <w:tc>
          <w:tcPr>
            <w:tcW w:type="dxa" w:w="268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r>
              <w:rPr>
                <w:rFonts w:ascii="Arial" w:cs="Arial" w:eastAsia="Arial" w:hAnsi="Arial"/>
                <w:b/>
                <w:bCs/>
                <w:color w:val="FFFFFF"/>
                <w:sz w:val="20"/>
                <w:szCs w:val="20"/>
              </w:rPr>
              <w:t xml:space="preserve">Avg MRR/Company</w:t>
            </w:r>
          </w:p>
        </w:tc>
        <w:tc>
          <w:tcPr>
            <w:tcW w:type="dxa" w:w="268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r>
              <w:rPr>
                <w:rFonts w:ascii="Arial" w:cs="Arial" w:eastAsia="Arial" w:hAnsi="Arial"/>
                <w:b/>
                <w:bCs/>
                <w:color w:val="FFFFFF"/>
                <w:sz w:val="20"/>
                <w:szCs w:val="20"/>
              </w:rPr>
              <w:t xml:space="preserve">ARR</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Year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30</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$400</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~$145K</w:t>
            </w:r>
          </w:p>
        </w:tc>
      </w:tr>
      <w:tr>
        <w:trPr>
          <w:tblHeader w:val="false"/>
        </w:trP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Year 2</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120</w:t>
            </w:r>
          </w:p>
        </w:tc>
        <w:tc>
          <w:tcPr>
            <w:tcW w:type="dxa" w:w="2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$500</w:t>
            </w:r>
          </w:p>
        </w:tc>
        <w:tc>
          <w:tcPr>
            <w:tcW w:type="dxa" w:w="2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~$720K</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Year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350</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$600</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~$2.5M</w:t>
            </w:r>
          </w:p>
        </w:tc>
      </w:tr>
    </w:tbl>
    <w:p>
      <w:pPr>
        <w:spacing w:after="0" w:before="120"/>
      </w:pPr>
      <w:r>
        <w:t xml:space="preserve"/>
      </w:r>
    </w:p>
    <w:p>
      <w:pPr>
        <w:pStyle w:val="Heading2"/>
        <w:spacing w:after="80" w:before="240"/>
      </w:pPr>
      <w:r>
        <w:rPr>
          <w:rFonts w:ascii="Arial" w:cs="Arial" w:eastAsia="Arial" w:hAnsi="Arial"/>
          <w:b/>
          <w:bCs/>
          <w:color w:val="2E75B6"/>
          <w:sz w:val="24"/>
          <w:szCs w:val="24"/>
        </w:rPr>
        <w:t xml:space="preserve">Unit Economics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r>
              <w:rPr>
                <w:rFonts w:ascii="Arial" w:cs="Arial" w:eastAsia="Arial" w:hAnsi="Arial"/>
                <w:b/>
                <w:bCs/>
                <w:color w:val="FFFFFF"/>
                <w:sz w:val="20"/>
                <w:szCs w:val="20"/>
              </w:rPr>
              <w:t xml:space="preserve">Metric</w:t>
            </w:r>
          </w:p>
        </w:tc>
        <w:tc>
          <w:tcPr>
            <w:tcW w:type="dxa" w:w="63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r>
              <w:rPr>
                <w:rFonts w:ascii="Arial" w:cs="Arial" w:eastAsia="Arial" w:hAnsi="Arial"/>
                <w:b/>
                <w:bCs/>
                <w:color w:val="FFFFFF"/>
                <w:sz w:val="20"/>
                <w:szCs w:val="20"/>
              </w:rPr>
              <w:t xml:space="preserve">Target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CAC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&lt; $1,500 (direct sales + referral)</w:t>
            </w:r>
          </w:p>
        </w:tc>
      </w:tr>
      <w:tr>
        <w:trPr>
          <w:tblHeader w:val="false"/>
        </w:trPr>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LTV</w:t>
            </w:r>
          </w:p>
        </w:tc>
        <w:tc>
          <w:tcPr>
            <w:tcW w:type="dxa" w:w="6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&gt; $12,000 (3-year average contract)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LTV:CAC Ratio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&gt; 8x</w:t>
            </w:r>
          </w:p>
        </w:tc>
      </w:tr>
      <w:tr>
        <w:trPr>
          <w:tblHeader w:val="false"/>
        </w:trPr>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Annual Churn</w:t>
            </w:r>
          </w:p>
        </w:tc>
        <w:tc>
          <w:tcPr>
            <w:tcW w:type="dxa" w:w="6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&lt; 5%</w:t>
            </w:r>
          </w:p>
        </w:tc>
      </w:tr>
    </w:tbl>
    <w:p>
      <w:pPr>
        <w:spacing w:after="0" w:before="360"/>
      </w:pPr>
      <w:r>
        <w:t xml:space="preserve"/>
      </w:r>
    </w:p>
    <w:p>
      <w:pPr>
        <w:pStyle w:val="Heading1"/>
        <w:pBdr>
          <w:bottom w:val="single" w:color="2E75B6" w:sz="4" w:space="4"/>
        </w:pBdr>
        <w:spacing w:after="120" w:before="360"/>
      </w:pPr>
      <w:r>
        <w:rPr>
          <w:rFonts w:ascii="Arial" w:cs="Arial" w:eastAsia="Arial" w:hAnsi="Arial"/>
          <w:b/>
          <w:bCs/>
          <w:color w:val="1B3A6B"/>
          <w:sz w:val="28"/>
          <w:szCs w:val="28"/>
        </w:rPr>
        <w:t xml:space="preserve">6. Go-to-Market Strategy</w:t>
      </w:r>
    </w:p>
    <w:p>
      <w:pPr>
        <w:pStyle w:val="Heading2"/>
        <w:spacing w:after="80" w:before="240"/>
      </w:pPr>
      <w:r>
        <w:rPr>
          <w:rFonts w:ascii="Arial" w:cs="Arial" w:eastAsia="Arial" w:hAnsi="Arial"/>
          <w:b/>
          <w:bCs/>
          <w:color w:val="2E75B6"/>
          <w:sz w:val="24"/>
          <w:szCs w:val="24"/>
        </w:rPr>
        <w:t xml:space="preserve">Phase 1 — First 10 Customers (Months 1–3)</w:t>
      </w:r>
    </w:p>
    <w:p>
      <w:pPr>
        <w:pStyle w:val="ListParagraph"/>
        <w:numPr>
          <w:ilvl w:val="0"/>
          <w:numId w:val="2"/>
        </w:numPr>
        <w:spacing w:after="40" w:before="40"/>
      </w:pPr>
      <w:r>
        <w:rPr>
          <w:rFonts w:ascii="Arial" w:cs="Arial" w:eastAsia="Arial" w:hAnsi="Arial"/>
          <w:b w:val="false"/>
          <w:bCs w:val="false"/>
          <w:color w:val="1A1A2E"/>
          <w:sz w:val="22"/>
          <w:szCs w:val="22"/>
        </w:rPr>
        <w:t xml:space="preserve">Founder-led direct sales to known contacts in the construction industry</w:t>
      </w:r>
    </w:p>
    <w:p>
      <w:pPr>
        <w:pStyle w:val="ListParagraph"/>
        <w:numPr>
          <w:ilvl w:val="0"/>
          <w:numId w:val="2"/>
        </w:numPr>
        <w:spacing w:after="40" w:before="40"/>
      </w:pPr>
      <w:r>
        <w:rPr>
          <w:rFonts w:ascii="Arial" w:cs="Arial" w:eastAsia="Arial" w:hAnsi="Arial"/>
          <w:b w:val="false"/>
          <w:bCs w:val="false"/>
          <w:color w:val="1A1A2E"/>
          <w:sz w:val="22"/>
          <w:szCs w:val="22"/>
        </w:rPr>
        <w:t xml:space="preserve">Offer 3-month free pilot in exchange for feedback and case study rights</w:t>
      </w:r>
    </w:p>
    <w:p>
      <w:pPr>
        <w:pStyle w:val="ListParagraph"/>
        <w:numPr>
          <w:ilvl w:val="0"/>
          <w:numId w:val="2"/>
        </w:numPr>
        <w:spacing w:after="40" w:before="40"/>
      </w:pPr>
      <w:r>
        <w:rPr>
          <w:rFonts w:ascii="Arial" w:cs="Arial" w:eastAsia="Arial" w:hAnsi="Arial"/>
          <w:b w:val="false"/>
          <w:bCs w:val="false"/>
          <w:color w:val="1A1A2E"/>
          <w:sz w:val="22"/>
          <w:szCs w:val="22"/>
        </w:rPr>
        <w:t xml:space="preserve">Target: project managers and operations directors, not IT</w:t>
      </w:r>
    </w:p>
    <w:p>
      <w:pPr>
        <w:pStyle w:val="ListParagraph"/>
        <w:numPr>
          <w:ilvl w:val="0"/>
          <w:numId w:val="2"/>
        </w:numPr>
        <w:spacing w:after="40" w:before="40"/>
      </w:pPr>
      <w:r>
        <w:rPr>
          <w:rFonts w:ascii="Arial" w:cs="Arial" w:eastAsia="Arial" w:hAnsi="Arial"/>
          <w:b w:val="false"/>
          <w:bCs w:val="false"/>
          <w:color w:val="1A1A2E"/>
          <w:sz w:val="22"/>
          <w:szCs w:val="22"/>
        </w:rPr>
        <w:t xml:space="preserve">Close 3–5 design partners before MVP is complete</w:t>
      </w:r>
    </w:p>
    <w:p>
      <w:pPr>
        <w:spacing w:after="0" w:before="80"/>
      </w:pPr>
      <w:r>
        <w:t xml:space="preserve"/>
      </w:r>
    </w:p>
    <w:p>
      <w:pPr>
        <w:pStyle w:val="Heading2"/>
        <w:spacing w:after="80" w:before="240"/>
      </w:pPr>
      <w:r>
        <w:rPr>
          <w:rFonts w:ascii="Arial" w:cs="Arial" w:eastAsia="Arial" w:hAnsi="Arial"/>
          <w:b/>
          <w:bCs/>
          <w:color w:val="2E75B6"/>
          <w:sz w:val="24"/>
          <w:szCs w:val="24"/>
        </w:rPr>
        <w:t xml:space="preserve">Phase 2 — First 50 Customers (Months 4–9)</w:t>
      </w:r>
    </w:p>
    <w:p>
      <w:pPr>
        <w:pStyle w:val="ListParagraph"/>
        <w:numPr>
          <w:ilvl w:val="0"/>
          <w:numId w:val="2"/>
        </w:numPr>
        <w:spacing w:after="40" w:before="40"/>
      </w:pPr>
      <w:r>
        <w:rPr>
          <w:rFonts w:ascii="Arial" w:cs="Arial" w:eastAsia="Arial" w:hAnsi="Arial"/>
          <w:b w:val="false"/>
          <w:bCs w:val="false"/>
          <w:color w:val="1A1A2E"/>
          <w:sz w:val="22"/>
          <w:szCs w:val="22"/>
        </w:rPr>
        <w:t xml:space="preserve">Build 2–3 customer case studies with measurable outcomes (e.g., “reduced reporting time by 60%”)</w:t>
      </w:r>
    </w:p>
    <w:p>
      <w:pPr>
        <w:pStyle w:val="ListParagraph"/>
        <w:numPr>
          <w:ilvl w:val="0"/>
          <w:numId w:val="2"/>
        </w:numPr>
        <w:spacing w:after="40" w:before="40"/>
      </w:pPr>
      <w:r>
        <w:rPr>
          <w:rFonts w:ascii="Arial" w:cs="Arial" w:eastAsia="Arial" w:hAnsi="Arial"/>
          <w:b w:val="false"/>
          <w:bCs w:val="false"/>
          <w:color w:val="1A1A2E"/>
          <w:sz w:val="22"/>
          <w:szCs w:val="22"/>
        </w:rPr>
        <w:t xml:space="preserve">Partner with construction consultancies and QS firms who advise on project software</w:t>
      </w:r>
    </w:p>
    <w:p>
      <w:pPr>
        <w:pStyle w:val="ListParagraph"/>
        <w:numPr>
          <w:ilvl w:val="0"/>
          <w:numId w:val="2"/>
        </w:numPr>
        <w:spacing w:after="40" w:before="40"/>
      </w:pPr>
      <w:r>
        <w:rPr>
          <w:rFonts w:ascii="Arial" w:cs="Arial" w:eastAsia="Arial" w:hAnsi="Arial"/>
          <w:b w:val="false"/>
          <w:bCs w:val="false"/>
          <w:color w:val="1A1A2E"/>
          <w:sz w:val="22"/>
          <w:szCs w:val="22"/>
        </w:rPr>
        <w:t xml:space="preserve">Content marketing: guides on construction PM, AI in construction</w:t>
      </w:r>
    </w:p>
    <w:p>
      <w:pPr>
        <w:pStyle w:val="ListParagraph"/>
        <w:numPr>
          <w:ilvl w:val="0"/>
          <w:numId w:val="2"/>
        </w:numPr>
        <w:spacing w:after="40" w:before="40"/>
      </w:pPr>
      <w:r>
        <w:rPr>
          <w:rFonts w:ascii="Arial" w:cs="Arial" w:eastAsia="Arial" w:hAnsi="Arial"/>
          <w:b w:val="false"/>
          <w:bCs w:val="false"/>
          <w:color w:val="1A1A2E"/>
          <w:sz w:val="22"/>
          <w:szCs w:val="22"/>
        </w:rPr>
        <w:t xml:space="preserve">Attend 1–2 regional construction expos (Big 5 Dubai, Saudi Build)</w:t>
      </w:r>
    </w:p>
    <w:p>
      <w:pPr>
        <w:spacing w:after="0" w:before="80"/>
      </w:pPr>
      <w:r>
        <w:t xml:space="preserve"/>
      </w:r>
    </w:p>
    <w:p>
      <w:pPr>
        <w:pStyle w:val="Heading2"/>
        <w:spacing w:after="80" w:before="240"/>
      </w:pPr>
      <w:r>
        <w:rPr>
          <w:rFonts w:ascii="Arial" w:cs="Arial" w:eastAsia="Arial" w:hAnsi="Arial"/>
          <w:b/>
          <w:bCs/>
          <w:color w:val="2E75B6"/>
          <w:sz w:val="24"/>
          <w:szCs w:val="24"/>
        </w:rPr>
        <w:t xml:space="preserve">Phase 3 — Scale (Month 10+)</w:t>
      </w:r>
    </w:p>
    <w:p>
      <w:pPr>
        <w:pStyle w:val="ListParagraph"/>
        <w:numPr>
          <w:ilvl w:val="0"/>
          <w:numId w:val="2"/>
        </w:numPr>
        <w:spacing w:after="40" w:before="40"/>
      </w:pPr>
      <w:r>
        <w:rPr>
          <w:rFonts w:ascii="Arial" w:cs="Arial" w:eastAsia="Arial" w:hAnsi="Arial"/>
          <w:b w:val="false"/>
          <w:bCs w:val="false"/>
          <w:color w:val="1A1A2E"/>
          <w:sz w:val="22"/>
          <w:szCs w:val="22"/>
        </w:rPr>
        <w:t xml:space="preserve">Inside sales team (1–2 reps)</w:t>
      </w:r>
    </w:p>
    <w:p>
      <w:pPr>
        <w:pStyle w:val="ListParagraph"/>
        <w:numPr>
          <w:ilvl w:val="0"/>
          <w:numId w:val="2"/>
        </w:numPr>
        <w:spacing w:after="40" w:before="40"/>
      </w:pPr>
      <w:r>
        <w:rPr>
          <w:rFonts w:ascii="Arial" w:cs="Arial" w:eastAsia="Arial" w:hAnsi="Arial"/>
          <w:b w:val="false"/>
          <w:bCs w:val="false"/>
          <w:color w:val="1A1A2E"/>
          <w:sz w:val="22"/>
          <w:szCs w:val="22"/>
        </w:rPr>
        <w:t xml:space="preserve">Channel partnerships with ERP vendors serving construction (Sage, Oracle JDE resellers)</w:t>
      </w:r>
    </w:p>
    <w:p>
      <w:pPr>
        <w:pStyle w:val="ListParagraph"/>
        <w:numPr>
          <w:ilvl w:val="0"/>
          <w:numId w:val="2"/>
        </w:numPr>
        <w:spacing w:after="40" w:before="40"/>
      </w:pPr>
      <w:r>
        <w:rPr>
          <w:rFonts w:ascii="Arial" w:cs="Arial" w:eastAsia="Arial" w:hAnsi="Arial"/>
          <w:b w:val="false"/>
          <w:bCs w:val="false"/>
          <w:color w:val="1A1A2E"/>
          <w:sz w:val="22"/>
          <w:szCs w:val="22"/>
        </w:rPr>
        <w:t xml:space="preserve">Expand to Saudi Arabia and Egypt as secondary markets</w:t>
      </w:r>
    </w:p>
    <w:p>
      <w:pPr>
        <w:pStyle w:val="ListParagraph"/>
        <w:numPr>
          <w:ilvl w:val="0"/>
          <w:numId w:val="2"/>
        </w:numPr>
        <w:spacing w:after="40" w:before="40"/>
      </w:pPr>
      <w:r>
        <w:rPr>
          <w:rFonts w:ascii="Arial" w:cs="Arial" w:eastAsia="Arial" w:hAnsi="Arial"/>
          <w:b w:val="false"/>
          <w:bCs w:val="false"/>
          <w:color w:val="1A1A2E"/>
          <w:sz w:val="22"/>
          <w:szCs w:val="22"/>
        </w:rPr>
        <w:t xml:space="preserve">Explore Arabic-language UI as a competitive moat</w:t>
      </w:r>
    </w:p>
    <w:p>
      <w:pPr>
        <w:spacing w:after="0" w:before="360"/>
      </w:pPr>
      <w:r>
        <w:t xml:space="preserve"/>
      </w:r>
    </w:p>
    <w:p>
      <w:pPr>
        <w:pStyle w:val="Heading1"/>
        <w:pBdr>
          <w:bottom w:val="single" w:color="2E75B6" w:sz="4" w:space="4"/>
        </w:pBdr>
        <w:spacing w:after="120" w:before="360"/>
      </w:pPr>
      <w:r>
        <w:rPr>
          <w:rFonts w:ascii="Arial" w:cs="Arial" w:eastAsia="Arial" w:hAnsi="Arial"/>
          <w:b/>
          <w:bCs/>
          <w:color w:val="1B3A6B"/>
          <w:sz w:val="28"/>
          <w:szCs w:val="28"/>
        </w:rPr>
        <w:t xml:space="preserve">7. Product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r>
              <w:rPr>
                <w:rFonts w:ascii="Arial" w:cs="Arial" w:eastAsia="Arial" w:hAnsi="Arial"/>
                <w:b/>
                <w:bCs/>
                <w:color w:val="FFFFFF"/>
                <w:sz w:val="20"/>
                <w:szCs w:val="20"/>
              </w:rPr>
              <w:t xml:space="preserve">Timeline</w:t>
            </w:r>
          </w:p>
        </w:tc>
        <w:tc>
          <w:tcPr>
            <w:tcW w:type="dxa" w:w="57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r>
              <w:rPr>
                <w:rFonts w:ascii="Arial" w:cs="Arial" w:eastAsia="Arial" w:hAnsi="Arial"/>
                <w:b/>
                <w:bCs/>
                <w:color w:val="FFFFFF"/>
                <w:sz w:val="20"/>
                <w:szCs w:val="20"/>
              </w:rPr>
              <w:t xml:space="preserve">Key Deliverables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MVP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Weeks 1–10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Auth, projects, tasks, daily reports, issues, budget, procurement, dashboard, AI summaries, risk panel</w:t>
            </w:r>
          </w:p>
        </w:tc>
      </w:tr>
      <w:tr>
        <w:trPr>
          <w:tblHeader w:val="false"/>
        </w:trP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v1.1</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Months 3–5</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AI assistant chat, mobile-optimized field mode, notifications, audit logs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v1.2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Months 6–9</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BOQ management, RFIs &amp; approvals, subcontractor management, Arabic language support</w:t>
            </w:r>
          </w:p>
        </w:tc>
      </w:tr>
      <w:tr>
        <w:trPr>
          <w:tblHeader w:val="false"/>
        </w:trP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Year 2</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Ongoing</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Photo intelligence, safety module, advanced forecasting, API marketplace</w:t>
            </w:r>
          </w:p>
        </w:tc>
      </w:tr>
    </w:tbl>
    <w:p>
      <w:pPr>
        <w:spacing w:after="0" w:before="360"/>
      </w:pPr>
      <w:r>
        <w:t xml:space="preserve"/>
      </w:r>
    </w:p>
    <w:p>
      <w:pPr>
        <w:pStyle w:val="Heading1"/>
        <w:pBdr>
          <w:bottom w:val="single" w:color="2E75B6" w:sz="4" w:space="4"/>
        </w:pBdr>
        <w:spacing w:after="120" w:before="360"/>
      </w:pPr>
      <w:r>
        <w:rPr>
          <w:rFonts w:ascii="Arial" w:cs="Arial" w:eastAsia="Arial" w:hAnsi="Arial"/>
          <w:b/>
          <w:bCs/>
          <w:color w:val="1B3A6B"/>
          <w:sz w:val="28"/>
          <w:szCs w:val="28"/>
        </w:rPr>
        <w:t xml:space="preserve">8. Technology</w:t>
      </w:r>
    </w:p>
    <w:p>
      <w:pPr>
        <w:pStyle w:val="Heading2"/>
        <w:spacing w:after="80" w:before="240"/>
      </w:pPr>
      <w:r>
        <w:rPr>
          <w:rFonts w:ascii="Arial" w:cs="Arial" w:eastAsia="Arial" w:hAnsi="Arial"/>
          <w:b/>
          <w:bCs/>
          <w:color w:val="2E75B6"/>
          <w:sz w:val="24"/>
          <w:szCs w:val="24"/>
        </w:rPr>
        <w:t xml:space="preserve">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r>
              <w:rPr>
                <w:rFonts w:ascii="Arial" w:cs="Arial" w:eastAsia="Arial" w:hAnsi="Arial"/>
                <w:b/>
                <w:bCs/>
                <w:color w:val="FFFFFF"/>
                <w:sz w:val="20"/>
                <w:szCs w:val="20"/>
              </w:rPr>
              <w:t xml:space="preserve">Layer</w:t>
            </w:r>
          </w:p>
        </w:tc>
        <w:tc>
          <w:tcPr>
            <w:tcW w:type="dxa" w:w="63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r>
              <w:rPr>
                <w:rFonts w:ascii="Arial" w:cs="Arial" w:eastAsia="Arial" w:hAnsi="Arial"/>
                <w:b/>
                <w:bCs/>
                <w:color w:val="FFFFFF"/>
                <w:sz w:val="20"/>
                <w:szCs w:val="20"/>
              </w:rPr>
              <w:t xml:space="preserve">Technology</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Frontend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Next.js, TypeScript, Tailwind CSS</w:t>
            </w:r>
          </w:p>
        </w:tc>
      </w:tr>
      <w:tr>
        <w:trPr>
          <w:tblHeader w:val="false"/>
        </w:trPr>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Backend</w:t>
            </w:r>
          </w:p>
        </w:tc>
        <w:tc>
          <w:tcPr>
            <w:tcW w:type="dxa" w:w="6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NestJS, TypeScript, PostgreSQL, Prisma ORM</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AI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LLM API (OpenAI / Anthropic), rule-based risk engine</w:t>
            </w:r>
          </w:p>
        </w:tc>
      </w:tr>
      <w:tr>
        <w:trPr>
          <w:tblHeader w:val="false"/>
        </w:trPr>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Queue</w:t>
            </w:r>
          </w:p>
        </w:tc>
        <w:tc>
          <w:tcPr>
            <w:tcW w:type="dxa" w:w="6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Redis, BullMQ</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S3-compatible (AWS or Cloudflare R2)</w:t>
            </w:r>
          </w:p>
        </w:tc>
      </w:tr>
      <w:tr>
        <w:trPr>
          <w:tblHeader w:val="false"/>
        </w:trPr>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Infrastructure</w:t>
            </w:r>
          </w:p>
        </w:tc>
        <w:tc>
          <w:tcPr>
            <w:tcW w:type="dxa" w:w="6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Docker, Nginx, DigitalOcean / AWS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CI/CD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GitHub Actions</w:t>
            </w:r>
          </w:p>
        </w:tc>
      </w:tr>
    </w:tbl>
    <w:p>
      <w:pPr>
        <w:spacing w:after="0" w:before="120"/>
      </w:pPr>
      <w:r>
        <w:t xml:space="preserve"/>
      </w:r>
    </w:p>
    <w:p>
      <w:pPr>
        <w:pStyle w:val="Heading2"/>
        <w:spacing w:after="80" w:before="240"/>
      </w:pPr>
      <w:r>
        <w:rPr>
          <w:rFonts w:ascii="Arial" w:cs="Arial" w:eastAsia="Arial" w:hAnsi="Arial"/>
          <w:b/>
          <w:bCs/>
          <w:color w:val="2E75B6"/>
          <w:sz w:val="24"/>
          <w:szCs w:val="24"/>
        </w:rPr>
        <w:t xml:space="preserve">Architecture Principles</w:t>
      </w:r>
    </w:p>
    <w:p>
      <w:pPr>
        <w:pStyle w:val="ListParagraph"/>
        <w:numPr>
          <w:ilvl w:val="0"/>
          <w:numId w:val="2"/>
        </w:numPr>
        <w:spacing w:after="40" w:before="40"/>
      </w:pPr>
      <w:r>
        <w:rPr>
          <w:rFonts w:ascii="Arial" w:cs="Arial" w:eastAsia="Arial" w:hAnsi="Arial"/>
          <w:b w:val="false"/>
          <w:bCs w:val="false"/>
          <w:color w:val="1A1A2E"/>
          <w:sz w:val="22"/>
          <w:szCs w:val="22"/>
        </w:rPr>
        <w:t xml:space="preserve">Multi-tenant from day one — data is isolated per organization</w:t>
      </w:r>
    </w:p>
    <w:p>
      <w:pPr>
        <w:pStyle w:val="ListParagraph"/>
        <w:numPr>
          <w:ilvl w:val="0"/>
          <w:numId w:val="2"/>
        </w:numPr>
        <w:spacing w:after="40" w:before="40"/>
      </w:pPr>
      <w:r>
        <w:rPr>
          <w:rFonts w:ascii="Arial" w:cs="Arial" w:eastAsia="Arial" w:hAnsi="Arial"/>
          <w:b w:val="false"/>
          <w:bCs w:val="false"/>
          <w:color w:val="1A1A2E"/>
          <w:sz w:val="22"/>
          <w:szCs w:val="22"/>
        </w:rPr>
        <w:t xml:space="preserve">Modular backend — each domain (tasks, reports, budgets) is a self-contained module</w:t>
      </w:r>
    </w:p>
    <w:p>
      <w:pPr>
        <w:pStyle w:val="ListParagraph"/>
        <w:numPr>
          <w:ilvl w:val="0"/>
          <w:numId w:val="2"/>
        </w:numPr>
        <w:spacing w:after="40" w:before="40"/>
      </w:pPr>
      <w:r>
        <w:rPr>
          <w:rFonts w:ascii="Arial" w:cs="Arial" w:eastAsia="Arial" w:hAnsi="Arial"/>
          <w:b w:val="false"/>
          <w:bCs w:val="false"/>
          <w:color w:val="1A1A2E"/>
          <w:sz w:val="22"/>
          <w:szCs w:val="22"/>
        </w:rPr>
        <w:t xml:space="preserve">AI layer is decoupled — runs asynchronously via queues so it never blocks core workflows</w:t>
      </w:r>
    </w:p>
    <w:p>
      <w:pPr>
        <w:pStyle w:val="ListParagraph"/>
        <w:numPr>
          <w:ilvl w:val="0"/>
          <w:numId w:val="2"/>
        </w:numPr>
        <w:spacing w:after="40" w:before="40"/>
      </w:pPr>
      <w:r>
        <w:rPr>
          <w:rFonts w:ascii="Arial" w:cs="Arial" w:eastAsia="Arial" w:hAnsi="Arial"/>
          <w:b w:val="false"/>
          <w:bCs w:val="false"/>
          <w:color w:val="1A1A2E"/>
          <w:sz w:val="22"/>
          <w:szCs w:val="22"/>
        </w:rPr>
        <w:t xml:space="preserve">Built for extension — future mobile app and API integrations are architectural assumptions, not afterthoughts</w:t>
      </w:r>
    </w:p>
    <w:p>
      <w:pPr>
        <w:spacing w:after="0" w:before="360"/>
      </w:pPr>
      <w:r>
        <w:t xml:space="preserve"/>
      </w:r>
    </w:p>
    <w:p>
      <w:pPr>
        <w:pStyle w:val="Heading1"/>
        <w:pBdr>
          <w:bottom w:val="single" w:color="2E75B6" w:sz="4" w:space="4"/>
        </w:pBdr>
        <w:spacing w:after="120" w:before="360"/>
      </w:pPr>
      <w:r>
        <w:rPr>
          <w:rFonts w:ascii="Arial" w:cs="Arial" w:eastAsia="Arial" w:hAnsi="Arial"/>
          <w:b/>
          <w:bCs/>
          <w:color w:val="1B3A6B"/>
          <w:sz w:val="28"/>
          <w:szCs w:val="28"/>
        </w:rPr>
        <w:t xml:space="preserve">9. Team</w:t>
      </w:r>
    </w:p>
    <w:p>
      <w:pPr>
        <w:spacing w:after="60" w:before="60"/>
      </w:pPr>
      <w:r>
        <w:rPr>
          <w:rFonts w:ascii="Arial" w:cs="Arial" w:eastAsia="Arial" w:hAnsi="Arial"/>
          <w:color w:val="1A1A2E"/>
          <w:sz w:val="22"/>
          <w:szCs w:val="22"/>
        </w:rPr>
        <w:t xml:space="preserve">ConstructIQ is being built by two co-founders who are both full-stack developers. This is a deliberate choice — a technical founding team means every decision is grounded in what can actually be shipped, with no dependency on outside engineering resources.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r>
              <w:rPr>
                <w:rFonts w:ascii="Arial" w:cs="Arial" w:eastAsia="Arial" w:hAnsi="Arial"/>
                <w:b/>
                <w:bCs/>
                <w:color w:val="FFFFFF"/>
                <w:sz w:val="20"/>
                <w:szCs w:val="20"/>
              </w:rPr>
              <w:t xml:space="preserve">Role</w:t>
            </w:r>
          </w:p>
        </w:tc>
        <w:tc>
          <w:tcPr>
            <w:tcW w:type="dxa" w:w="61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r>
              <w:rPr>
                <w:rFonts w:ascii="Arial" w:cs="Arial" w:eastAsia="Arial" w:hAnsi="Arial"/>
                <w:b/>
                <w:bCs/>
                <w:color w:val="FFFFFF"/>
                <w:sz w:val="20"/>
                <w:szCs w:val="20"/>
              </w:rPr>
              <w:t xml:space="preserve">Responsibilities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Co-founder 1 — Full-Stack Developer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Frontend architecture, UI/UX implementation, product design. Owns the Next.js application, component system, and user-facing AI features.</w:t>
            </w:r>
          </w:p>
        </w:tc>
      </w:tr>
      <w:tr>
        <w:trPr>
          <w:tblHeader w:val="false"/>
        </w:trP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Co-founder 2 — Full-Stack Developer</w:t>
            </w:r>
          </w:p>
        </w:tc>
        <w:tc>
          <w:tcPr>
            <w:tcW w:type="dxa" w:w="6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Backend architecture, database design, and infrastructure. Owns the NestJS API, PostgreSQL data model, AI service integration, and deployment pipeline.</w:t>
            </w:r>
          </w:p>
        </w:tc>
      </w:tr>
    </w:tbl>
    <w:p>
      <w:pPr>
        <w:spacing w:after="0" w:before="120"/>
      </w:pPr>
      <w:r>
        <w:t xml:space="preserve"/>
      </w:r>
    </w:p>
    <w:p>
      <w:pPr>
        <w:pStyle w:val="Heading2"/>
        <w:spacing w:after="80" w:before="240"/>
      </w:pPr>
      <w:r>
        <w:rPr>
          <w:rFonts w:ascii="Arial" w:cs="Arial" w:eastAsia="Arial" w:hAnsi="Arial"/>
          <w:b/>
          <w:bCs/>
          <w:color w:val="2E75B6"/>
          <w:sz w:val="24"/>
          <w:szCs w:val="24"/>
        </w:rPr>
        <w:t xml:space="preserve">Why a 2-Person Technical Team Works</w:t>
      </w:r>
    </w:p>
    <w:p>
      <w:pPr>
        <w:pStyle w:val="ListParagraph"/>
        <w:numPr>
          <w:ilvl w:val="0"/>
          <w:numId w:val="2"/>
        </w:numPr>
        <w:spacing w:after="40" w:before="40"/>
      </w:pPr>
      <w:r>
        <w:rPr>
          <w:rFonts w:ascii="Arial" w:cs="Arial" w:eastAsia="Arial" w:hAnsi="Arial"/>
          <w:b w:val="false"/>
          <w:bCs w:val="false"/>
          <w:color w:val="1A1A2E"/>
          <w:sz w:val="22"/>
          <w:szCs w:val="22"/>
        </w:rPr>
        <w:t xml:space="preserve">MVP scope is deliberately tight — manageable by two focused developers in 10–12 weeks</w:t>
      </w:r>
    </w:p>
    <w:p>
      <w:pPr>
        <w:pStyle w:val="ListParagraph"/>
        <w:numPr>
          <w:ilvl w:val="0"/>
          <w:numId w:val="2"/>
        </w:numPr>
        <w:spacing w:after="40" w:before="40"/>
      </w:pPr>
      <w:r>
        <w:rPr>
          <w:rFonts w:ascii="Arial" w:cs="Arial" w:eastAsia="Arial" w:hAnsi="Arial"/>
          <w:b w:val="false"/>
          <w:bCs w:val="false"/>
          <w:color w:val="1A1A2E"/>
          <w:sz w:val="22"/>
          <w:szCs w:val="22"/>
        </w:rPr>
        <w:t xml:space="preserve">Both founders can cover each other’s domains, reducing single points of failure</w:t>
      </w:r>
    </w:p>
    <w:p>
      <w:pPr>
        <w:pStyle w:val="ListParagraph"/>
        <w:numPr>
          <w:ilvl w:val="0"/>
          <w:numId w:val="2"/>
        </w:numPr>
        <w:spacing w:after="40" w:before="40"/>
      </w:pPr>
      <w:r>
        <w:rPr>
          <w:rFonts w:ascii="Arial" w:cs="Arial" w:eastAsia="Arial" w:hAnsi="Arial"/>
          <w:b w:val="false"/>
          <w:bCs w:val="false"/>
          <w:color w:val="1A1A2E"/>
          <w:sz w:val="22"/>
          <w:szCs w:val="22"/>
        </w:rPr>
        <w:t xml:space="preserve">No salary overhead means the business reaches profitability faster</w:t>
      </w:r>
    </w:p>
    <w:p>
      <w:pPr>
        <w:pStyle w:val="ListParagraph"/>
        <w:numPr>
          <w:ilvl w:val="0"/>
          <w:numId w:val="2"/>
        </w:numPr>
        <w:spacing w:after="40" w:before="40"/>
      </w:pPr>
      <w:r>
        <w:rPr>
          <w:rFonts w:ascii="Arial" w:cs="Arial" w:eastAsia="Arial" w:hAnsi="Arial"/>
          <w:b w:val="false"/>
          <w:bCs w:val="false"/>
          <w:color w:val="1A1A2E"/>
          <w:sz w:val="22"/>
          <w:szCs w:val="22"/>
        </w:rPr>
        <w:t xml:space="preserve">Technical founders can speak directly to engineering buyers and CTOs</w:t>
      </w:r>
    </w:p>
    <w:p>
      <w:pPr>
        <w:spacing w:after="0" w:before="80"/>
      </w:pPr>
      <w:r>
        <w:t xml:space="preserve"/>
      </w:r>
    </w:p>
    <w:p>
      <w:pPr>
        <w:pStyle w:val="Heading2"/>
        <w:spacing w:after="80" w:before="240"/>
      </w:pPr>
      <w:r>
        <w:rPr>
          <w:rFonts w:ascii="Arial" w:cs="Arial" w:eastAsia="Arial" w:hAnsi="Arial"/>
          <w:b/>
          <w:bCs/>
          <w:color w:val="2E75B6"/>
          <w:sz w:val="24"/>
          <w:szCs w:val="24"/>
        </w:rPr>
        <w:t xml:space="preserve">Scaling the Team</w:t>
      </w:r>
    </w:p>
    <w:p>
      <w:pPr>
        <w:spacing w:after="60" w:before="60"/>
      </w:pPr>
      <w:r>
        <w:rPr>
          <w:rFonts w:ascii="Arial" w:cs="Arial" w:eastAsia="Arial" w:hAnsi="Arial"/>
          <w:color w:val="1A1A2E"/>
          <w:sz w:val="22"/>
          <w:szCs w:val="22"/>
        </w:rPr>
        <w:t xml:space="preserve">Once the product reaches initial revenue, the first hire will be a customer-facing role — either a sales/account executive or a construction domain expert who can accelerate acquisition and inform the product roadmap with real field knowledge.</w:t>
      </w:r>
    </w:p>
    <w:p>
      <w:pPr>
        <w:spacing w:after="0" w:before="360"/>
      </w:pPr>
      <w:r>
        <w:t xml:space="preserve"/>
      </w:r>
    </w:p>
    <w:p>
      <w:pPr>
        <w:pStyle w:val="Heading1"/>
        <w:pBdr>
          <w:bottom w:val="single" w:color="2E75B6" w:sz="4" w:space="4"/>
        </w:pBdr>
        <w:spacing w:after="120" w:before="360"/>
      </w:pPr>
      <w:r>
        <w:rPr>
          <w:rFonts w:ascii="Arial" w:cs="Arial" w:eastAsia="Arial" w:hAnsi="Arial"/>
          <w:b/>
          <w:bCs/>
          <w:color w:val="1B3A6B"/>
          <w:sz w:val="28"/>
          <w:szCs w:val="28"/>
        </w:rPr>
        <w:t xml:space="preserve">10. Bootstrapping Strategy</w:t>
      </w:r>
    </w:p>
    <w:p>
      <w:pPr>
        <w:spacing w:after="60" w:before="60"/>
      </w:pPr>
      <w:r>
        <w:rPr>
          <w:rFonts w:ascii="Arial" w:cs="Arial" w:eastAsia="Arial" w:hAnsi="Arial"/>
          <w:color w:val="1A1A2E"/>
          <w:sz w:val="22"/>
          <w:szCs w:val="22"/>
        </w:rPr>
        <w:t xml:space="preserve">ConstructIQ is being built without external funding. This is a strength, not a constraint.</w:t>
      </w:r>
    </w:p>
    <w:p>
      <w:pPr>
        <w:spacing w:after="0" w:before="80"/>
      </w:pPr>
      <w:r>
        <w:t xml:space="preserve"/>
      </w:r>
    </w:p>
    <w:p>
      <w:pPr>
        <w:spacing w:after="60" w:before="60"/>
      </w:pPr>
      <w:r>
        <w:rPr>
          <w:rFonts w:ascii="Arial" w:cs="Arial" w:eastAsia="Arial" w:hAnsi="Arial"/>
          <w:b/>
          <w:bCs/>
          <w:color w:val="1A1A2E"/>
          <w:sz w:val="22"/>
          <w:szCs w:val="22"/>
        </w:rPr>
        <w:t xml:space="preserve">Low burn rate.  </w:t>
      </w:r>
      <w:r>
        <w:rPr>
          <w:rFonts w:ascii="Arial" w:cs="Arial" w:eastAsia="Arial" w:hAnsi="Arial"/>
          <w:color w:val="1A1A2E"/>
          <w:sz w:val="22"/>
          <w:szCs w:val="22"/>
        </w:rPr>
        <w:t xml:space="preserve">Two technical co-founders with no salaries in the early stage means runway is measured in product milestones, not months of cash.</w:t>
      </w:r>
    </w:p>
    <w:p>
      <w:pPr>
        <w:spacing w:after="0" w:before="40"/>
      </w:pPr>
      <w:r>
        <w:t xml:space="preserve"/>
      </w:r>
    </w:p>
    <w:p>
      <w:pPr>
        <w:spacing w:after="60" w:before="60"/>
      </w:pPr>
      <w:r>
        <w:rPr>
          <w:rFonts w:ascii="Arial" w:cs="Arial" w:eastAsia="Arial" w:hAnsi="Arial"/>
          <w:b/>
          <w:bCs/>
          <w:color w:val="1A1A2E"/>
          <w:sz w:val="22"/>
          <w:szCs w:val="22"/>
        </w:rPr>
        <w:t xml:space="preserve">Revenue from day one.  </w:t>
      </w:r>
      <w:r>
        <w:rPr>
          <w:rFonts w:ascii="Arial" w:cs="Arial" w:eastAsia="Arial" w:hAnsi="Arial"/>
          <w:color w:val="1A1A2E"/>
          <w:sz w:val="22"/>
          <w:szCs w:val="22"/>
        </w:rPr>
        <w:t xml:space="preserve">The plan is to charge from the first customer — even at a discounted pilot rate. Every paying customer validates the model and extends runway.</w:t>
      </w:r>
    </w:p>
    <w:p>
      <w:pPr>
        <w:spacing w:after="0" w:before="40"/>
      </w:pPr>
      <w:r>
        <w:t xml:space="preserve"/>
      </w:r>
    </w:p>
    <w:p>
      <w:pPr>
        <w:spacing w:after="60" w:before="60"/>
      </w:pPr>
      <w:r>
        <w:rPr>
          <w:rFonts w:ascii="Arial" w:cs="Arial" w:eastAsia="Arial" w:hAnsi="Arial"/>
          <w:b/>
          <w:bCs/>
          <w:color w:val="1A1A2E"/>
          <w:sz w:val="22"/>
          <w:szCs w:val="22"/>
        </w:rPr>
        <w:t xml:space="preserve">Minimal infrastructure costs.  </w:t>
      </w:r>
      <w:r>
        <w:rPr>
          <w:rFonts w:ascii="Arial" w:cs="Arial" w:eastAsia="Arial" w:hAnsi="Arial"/>
          <w:color w:val="1A1A2E"/>
          <w:sz w:val="22"/>
          <w:szCs w:val="22"/>
        </w:rPr>
        <w:t xml:space="preserve">A DigitalOcean or small AWS setup for the first 50 customers costs under $200/month. AI API costs are passed through in pricing.</w:t>
      </w:r>
    </w:p>
    <w:p>
      <w:pPr>
        <w:spacing w:after="0" w:before="40"/>
      </w:pPr>
      <w:r>
        <w:t xml:space="preserve"/>
      </w:r>
    </w:p>
    <w:p>
      <w:pPr>
        <w:spacing w:after="60" w:before="60"/>
      </w:pPr>
      <w:r>
        <w:rPr>
          <w:rFonts w:ascii="Arial" w:cs="Arial" w:eastAsia="Arial" w:hAnsi="Arial"/>
          <w:b/>
          <w:bCs/>
          <w:color w:val="1A1A2E"/>
          <w:sz w:val="22"/>
          <w:szCs w:val="22"/>
        </w:rPr>
        <w:t xml:space="preserve">Fast sales motion.  </w:t>
      </w:r>
      <w:r>
        <w:rPr>
          <w:rFonts w:ascii="Arial" w:cs="Arial" w:eastAsia="Arial" w:hAnsi="Arial"/>
          <w:color w:val="1A1A2E"/>
          <w:sz w:val="22"/>
          <w:szCs w:val="22"/>
        </w:rPr>
        <w:t xml:space="preserve">We sell to project managers and operations directors who can make a purchasing decision in days, not procurement committees that take months.</w:t>
      </w:r>
    </w:p>
    <w:p>
      <w:pPr>
        <w:spacing w:after="0" w:before="120"/>
      </w:pPr>
      <w:r>
        <w:t xml:space="preserve"/>
      </w:r>
    </w:p>
    <w:p>
      <w:pPr>
        <w:pStyle w:val="Heading2"/>
        <w:spacing w:after="80" w:before="240"/>
      </w:pPr>
      <w:r>
        <w:rPr>
          <w:rFonts w:ascii="Arial" w:cs="Arial" w:eastAsia="Arial" w:hAnsi="Arial"/>
          <w:b/>
          <w:bCs/>
          <w:color w:val="2E75B6"/>
          <w:sz w:val="24"/>
          <w:szCs w:val="24"/>
        </w:rPr>
        <w:t xml:space="preserve">Path to First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r>
              <w:rPr>
                <w:rFonts w:ascii="Arial" w:cs="Arial" w:eastAsia="Arial" w:hAnsi="Arial"/>
                <w:b/>
                <w:bCs/>
                <w:color w:val="FFFFFF"/>
                <w:sz w:val="20"/>
                <w:szCs w:val="20"/>
              </w:rPr>
              <w:t xml:space="preserve">Milestone</w:t>
            </w:r>
          </w:p>
        </w:tc>
        <w:tc>
          <w:tcPr>
            <w:tcW w:type="dxa" w:w="43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r>
              <w:rPr>
                <w:rFonts w:ascii="Arial" w:cs="Arial" w:eastAsia="Arial" w:hAnsi="Arial"/>
                <w:b/>
                <w:bCs/>
                <w:color w:val="FFFFFF"/>
                <w:sz w:val="20"/>
                <w:szCs w:val="20"/>
              </w:rPr>
              <w:t xml:space="preserve">Target</w:t>
            </w:r>
          </w:p>
        </w:tc>
      </w:tr>
      <w:tr>
        <w:trPr>
          <w:tblHeader w:val="false"/>
        </w:trPr>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MVP shipped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Week 10–12</w:t>
            </w:r>
          </w:p>
        </w:tc>
      </w:tr>
      <w:tr>
        <w:trPr>
          <w:tblHeader w:val="false"/>
        </w:trPr>
        <w:tc>
          <w:tcPr>
            <w:tcW w:type="dxa" w:w="5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First 3 paying customers</w:t>
            </w:r>
          </w:p>
        </w:tc>
        <w:tc>
          <w:tcPr>
            <w:tcW w:type="dxa" w:w="4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Month 3</w:t>
            </w:r>
          </w:p>
        </w:tc>
      </w:tr>
      <w:tr>
        <w:trPr>
          <w:tblHeader w:val="false"/>
        </w:trPr>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First 10 paying customers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Month 6</w:t>
            </w:r>
          </w:p>
        </w:tc>
      </w:tr>
      <w:tr>
        <w:trPr>
          <w:tblHeader w:val="false"/>
        </w:trPr>
        <w:tc>
          <w:tcPr>
            <w:tcW w:type="dxa" w:w="5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Break-even (covers infra + founder draw)</w:t>
            </w:r>
          </w:p>
        </w:tc>
        <w:tc>
          <w:tcPr>
            <w:tcW w:type="dxa" w:w="4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Month 9–12</w:t>
            </w:r>
          </w:p>
        </w:tc>
      </w:tr>
      <w:tr>
        <w:trPr>
          <w:tblHeader w:val="false"/>
        </w:trPr>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$150K ARR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End of Year 1</w:t>
            </w:r>
          </w:p>
        </w:tc>
      </w:tr>
    </w:tbl>
    <w:p>
      <w:pPr>
        <w:spacing w:after="0" w:before="360"/>
      </w:pPr>
      <w:r>
        <w:t xml:space="preserve"/>
      </w:r>
    </w:p>
    <w:p>
      <w:pPr>
        <w:pStyle w:val="Heading1"/>
        <w:pBdr>
          <w:bottom w:val="single" w:color="2E75B6" w:sz="4" w:space="4"/>
        </w:pBdr>
        <w:spacing w:after="120" w:before="360"/>
      </w:pPr>
      <w:r>
        <w:rPr>
          <w:rFonts w:ascii="Arial" w:cs="Arial" w:eastAsia="Arial" w:hAnsi="Arial"/>
          <w:b/>
          <w:bCs/>
          <w:color w:val="1B3A6B"/>
          <w:sz w:val="28"/>
          <w:szCs w:val="28"/>
        </w:rPr>
        <w:t xml:space="preserve">11. Risks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60"/>
        <w:gridCol w:w="480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r>
              <w:rPr>
                <w:rFonts w:ascii="Arial" w:cs="Arial" w:eastAsia="Arial" w:hAnsi="Arial"/>
                <w:b/>
                <w:bCs/>
                <w:color w:val="FFFFFF"/>
                <w:sz w:val="20"/>
                <w:szCs w:val="20"/>
              </w:rPr>
              <w:t xml:space="preserve">Risk</w:t>
            </w:r>
          </w:p>
        </w:tc>
        <w:tc>
          <w:tcPr>
            <w:tcW w:type="dxa" w:w="15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r>
              <w:rPr>
                <w:rFonts w:ascii="Arial" w:cs="Arial" w:eastAsia="Arial" w:hAnsi="Arial"/>
                <w:b/>
                <w:bCs/>
                <w:color w:val="FFFFFF"/>
                <w:sz w:val="20"/>
                <w:szCs w:val="20"/>
              </w:rPr>
              <w:t xml:space="preserve">Likelihood</w:t>
            </w:r>
          </w:p>
        </w:tc>
        <w:tc>
          <w:tcPr>
            <w:tcW w:type="dxa" w:w="48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vAlign w:val="center"/>
          </w:tcPr>
          <w:p>
            <w:r>
              <w:rPr>
                <w:rFonts w:ascii="Arial" w:cs="Arial" w:eastAsia="Arial" w:hAnsi="Arial"/>
                <w:b/>
                <w:bCs/>
                <w:color w:val="FFFFFF"/>
                <w:sz w:val="20"/>
                <w:szCs w:val="20"/>
              </w:rPr>
              <w:t xml:space="preserve">Mitigation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Slow sales cycles drain runway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Medium</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Focus on fast-decision buyers; pilot pricing lowers commitment barrier</w:t>
            </w:r>
          </w:p>
        </w:tc>
      </w:tr>
      <w:tr>
        <w:trPr>
          <w:tblHeader w:val="false"/>
        </w:trPr>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Burnout from wearing too many hats</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High</w:t>
            </w:r>
          </w:p>
        </w:tc>
        <w:tc>
          <w:tcPr>
            <w:tcW w:type="dxa" w:w="4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Strict MVP scope; no new features until first 10 customers are live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Competitors copy AI features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Medium</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Build proprietary construction data moat over time</w:t>
            </w:r>
          </w:p>
        </w:tc>
      </w:tr>
      <w:tr>
        <w:trPr>
          <w:tblHeader w:val="false"/>
        </w:trPr>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AI quality disappoints users</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Medium</w:t>
            </w:r>
          </w:p>
        </w:tc>
        <w:tc>
          <w:tcPr>
            <w:tcW w:type="dxa" w:w="4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Start with rule-based signals; iterate on AI with real customer data</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MVP scope creep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High</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Feature freeze enforced ruthlessly; everything non-core is deferred</w:t>
            </w:r>
          </w:p>
        </w:tc>
      </w:tr>
      <w:tr>
        <w:trPr>
          <w:tblHeader w:val="false"/>
        </w:trPr>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Low willingness to pay</w:t>
            </w:r>
          </w:p>
        </w:tc>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Low</w:t>
            </w:r>
          </w:p>
        </w:tc>
        <w:tc>
          <w:tcPr>
            <w:tcW w:type="dxa" w:w="4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Validated by Procore’s success; priced well below them</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One founder exits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Low</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Full codebase documentation; modular architecture means one person can maintain</w:t>
            </w:r>
          </w:p>
        </w:tc>
      </w:tr>
    </w:tbl>
    <w:p>
      <w:pPr>
        <w:spacing w:after="0" w:before="360"/>
      </w:pPr>
      <w:r>
        <w:t xml:space="preserve"/>
      </w:r>
    </w:p>
    <w:p>
      <w:pPr>
        <w:pStyle w:val="Heading1"/>
        <w:pBdr>
          <w:bottom w:val="single" w:color="2E75B6" w:sz="4" w:space="4"/>
        </w:pBdr>
        <w:spacing w:after="120" w:before="360"/>
      </w:pPr>
      <w:r>
        <w:rPr>
          <w:rFonts w:ascii="Arial" w:cs="Arial" w:eastAsia="Arial" w:hAnsi="Arial"/>
          <w:b/>
          <w:bCs/>
          <w:color w:val="1B3A6B"/>
          <w:sz w:val="28"/>
          <w:szCs w:val="28"/>
        </w:rPr>
        <w:t xml:space="preserve">12. Why This Wins</w:t>
      </w:r>
    </w:p>
    <w:p>
      <w:pPr>
        <w:spacing w:after="60" w:before="60"/>
      </w:pPr>
      <w:r>
        <w:rPr>
          <w:rFonts w:ascii="Arial" w:cs="Arial" w:eastAsia="Arial" w:hAnsi="Arial"/>
          <w:color w:val="1A1A2E"/>
          <w:sz w:val="22"/>
          <w:szCs w:val="22"/>
        </w:rPr>
        <w:t xml:space="preserve">The construction industry is not waiting for another generic project management tool. It needs a product built for how construction teams actually work — structured daily reporting, procurement trails, site-level issues, and budget control.</w:t>
      </w:r>
    </w:p>
    <w:p>
      <w:pPr>
        <w:spacing w:after="0" w:before="80"/>
      </w:pPr>
      <w:r>
        <w:t xml:space="preserve"/>
      </w:r>
    </w:p>
    <w:p>
      <w:pPr>
        <w:spacing w:after="60" w:before="60"/>
      </w:pPr>
      <w:r>
        <w:rPr>
          <w:rFonts w:ascii="Arial" w:cs="Arial" w:eastAsia="Arial" w:hAnsi="Arial"/>
          <w:color w:val="1A1A2E"/>
          <w:sz w:val="22"/>
          <w:szCs w:val="22"/>
        </w:rPr>
        <w:t xml:space="preserve">ConstructIQ is that product, built by two developers who move fast, stay lean, and ship. With no investors to answer to and no overhead to sustain, the focus is entirely on delivering value to customers and growing through word of mouth in an industry that runs on trust.</w:t>
      </w:r>
    </w:p>
    <w:p>
      <w:pPr>
        <w:spacing w:after="0" w:before="80"/>
      </w:pPr>
      <w:r>
        <w:t xml:space="preserve"/>
      </w:r>
    </w:p>
    <w:p>
      <w:pPr>
        <w:spacing w:after="60" w:before="60"/>
      </w:pPr>
      <w:r>
        <w:rPr>
          <w:rFonts w:ascii="Arial" w:cs="Arial" w:eastAsia="Arial" w:hAnsi="Arial"/>
          <w:color w:val="1A1A2E"/>
          <w:sz w:val="22"/>
          <w:szCs w:val="22"/>
        </w:rPr>
        <w:t xml:space="preserve">The AI layer turns raw site data into actionable intelligence. The pricing fits the market Procore ignores. The workflows go deeper than Monday.com. And the team is small enough to be in front of customers every week.</w:t>
      </w:r>
    </w:p>
    <w:p>
      <w:pPr>
        <w:spacing w:after="0" w:before="120"/>
      </w:pPr>
      <w:r>
        <w:t xml:space="preserve"/>
      </w:r>
    </w:p>
    <w:p>
      <w:pPr>
        <w:pBdr>
          <w:top w:val="single" w:color="2E75B6" w:sz="4" w:space="8"/>
          <w:bottom w:val="single" w:color="2E75B6" w:sz="4" w:space="8"/>
        </w:pBdr>
        <w:spacing w:after="120" w:before="120"/>
        <w:jc w:val="center"/>
      </w:pPr>
      <w:r>
        <w:rPr>
          <w:rFonts w:ascii="Arial" w:cs="Arial" w:eastAsia="Arial" w:hAnsi="Arial"/>
          <w:b/>
          <w:bCs/>
          <w:color w:val="1B3A6B"/>
          <w:sz w:val="26"/>
          <w:szCs w:val="26"/>
        </w:rPr>
        <w:t xml:space="preserve">Two developers. One focused product. A market that’s ready.</w:t>
      </w:r>
    </w:p>
    <w:p>
      <w:pPr>
        <w:spacing w:after="0" w:before="200"/>
      </w:pPr>
      <w:r>
        <w:t xml:space="preserve"/>
      </w:r>
    </w:p>
    <w:p>
      <w:pPr>
        <w:jc w:val="center"/>
      </w:pPr>
      <w:r>
        <w:rPr>
          <w:rFonts w:ascii="Arial" w:cs="Arial" w:eastAsia="Arial" w:hAnsi="Arial"/>
          <w:i/>
          <w:iCs/>
          <w:color w:val="6B7280"/>
          <w:sz w:val="18"/>
          <w:szCs w:val="18"/>
        </w:rPr>
        <w:t xml:space="preserve">ConstructIQ  ·  Confidential  ·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360"/>
      </w:tabs>
      <w:spacing w:before="80"/>
    </w:pPr>
    <w:r>
      <w:rPr>
        <w:rFonts w:ascii="Arial" w:cs="Arial" w:eastAsia="Arial" w:hAnsi="Arial"/>
        <w:color w:val="6B7280"/>
        <w:sz w:val="18"/>
        <w:szCs w:val="18"/>
      </w:rPr>
      <w:t xml:space="preserve">Confidential · 2025</w:t>
    </w:r>
    <w:r>
      <w:rPr>
        <w:rFonts w:ascii="Arial" w:cs="Arial" w:eastAsia="Arial" w:hAnsi="Arial"/>
        <w:sz w:val="18"/>
        <w:szCs w:val="18"/>
      </w:rPr>
      <w:t xml:space="preserve">	</w:t>
    </w:r>
    <w:r>
      <w:rPr>
        <w:rFonts w:ascii="Arial" w:cs="Arial" w:eastAsia="Arial" w:hAnsi="Arial"/>
        <w:color w:val="6B7280"/>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pPr>
    <w:r>
      <w:rPr>
        <w:rFonts w:ascii="Arial" w:cs="Arial" w:eastAsia="Arial" w:hAnsi="Arial"/>
        <w:b/>
        <w:bCs/>
        <w:color w:val="1B3A6B"/>
        <w:sz w:val="20"/>
        <w:szCs w:val="20"/>
      </w:rPr>
      <w:t xml:space="preserve">ConstructIQ</w:t>
    </w:r>
    <w:r>
      <w:rPr>
        <w:rFonts w:ascii="Arial" w:cs="Arial" w:eastAsia="Arial" w:hAnsi="Arial"/>
        <w:color w:val="6B7280"/>
        <w:sz w:val="20"/>
        <w:szCs w:val="20"/>
      </w:rPr>
      <w:t xml:space="preserve">  —  AI-Powered Construction Management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2026-04-04T15:53:11.573Z</dcterms:created>
  <dcterms:modified xsi:type="dcterms:W3CDTF">2026-04-04T15:53:11.574Z</dcterms:modified>
</cp:coreProperties>
</file>

<file path=docProps/custom.xml><?xml version="1.0" encoding="utf-8"?>
<Properties xmlns="http://schemas.openxmlformats.org/officeDocument/2006/custom-properties" xmlns:vt="http://schemas.openxmlformats.org/officeDocument/2006/docPropsVTypes"/>
</file>