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bidi w:val="0"/>
        <w:spacing w:before="360" w:after="80"/>
        <w:jc w:val="left"/>
        <w:rPr/>
      </w:pPr>
      <w:r>
        <w:rPr/>
        <w:t>1. Purpose of this document</w:t>
      </w:r>
    </w:p>
    <w:p>
      <w:pPr>
        <w:pStyle w:val="BodyText"/>
        <w:bidi w:val="0"/>
        <w:jc w:val="left"/>
        <w:rPr/>
      </w:pPr>
      <w:r>
        <w:rPr/>
        <w:t>This document sets out the three things: access to NEXT3, the infrastructure and messaging accounts, and AXA’s internal security review. It lists every open question arising from the BRD, and states the expected running cost of the application once live.</w:t>
      </w:r>
    </w:p>
    <w:p>
      <w:pPr>
        <w:pStyle w:val="Heading2"/>
        <w:bidi w:val="0"/>
        <w:jc w:val="left"/>
        <w:rPr/>
      </w:pPr>
      <w:r>
        <w:rPr/>
        <w:t>2. What is required, at a glance</w:t>
      </w:r>
    </w:p>
    <w:p>
      <w:pPr>
        <w:pStyle w:val="BodyText"/>
        <w:numPr>
          <w:ilvl w:val="0"/>
          <w:numId w:val="1"/>
        </w:numPr>
        <w:tabs>
          <w:tab w:val="clear" w:pos="1134"/>
          <w:tab w:val="left" w:pos="709" w:leader="none"/>
        </w:tabs>
        <w:bidi w:val="0"/>
        <w:spacing w:before="0" w:after="0"/>
        <w:ind w:hanging="283" w:left="709"/>
        <w:jc w:val="left"/>
        <w:rPr/>
      </w:pPr>
      <w:r>
        <w:rPr/>
        <w:t xml:space="preserve">A </w:t>
      </w:r>
      <w:r>
        <w:rPr>
          <w:b/>
        </w:rPr>
        <w:t>NEXT3 sandbox environment</w:t>
      </w:r>
      <w:r>
        <w:rPr/>
        <w:t xml:space="preserve">: URL, credentials, authentication method and test data </w:t>
      </w:r>
    </w:p>
    <w:p>
      <w:pPr>
        <w:pStyle w:val="BodyText"/>
        <w:numPr>
          <w:ilvl w:val="0"/>
          <w:numId w:val="1"/>
        </w:numPr>
        <w:tabs>
          <w:tab w:val="clear" w:pos="1134"/>
          <w:tab w:val="left" w:pos="709" w:leader="none"/>
        </w:tabs>
        <w:bidi w:val="0"/>
        <w:spacing w:before="0" w:after="0"/>
        <w:ind w:hanging="283" w:left="709"/>
        <w:jc w:val="left"/>
        <w:rPr/>
      </w:pPr>
      <w:r>
        <w:rPr/>
        <w:t xml:space="preserve">A decision on </w:t>
      </w:r>
      <w:r>
        <w:rPr>
          <w:b/>
        </w:rPr>
        <w:t>network connectivity to NEXT3</w:t>
      </w:r>
      <w:r>
        <w:rPr/>
        <w:t xml:space="preserve"> </w:t>
      </w:r>
    </w:p>
    <w:p>
      <w:pPr>
        <w:pStyle w:val="BodyText"/>
        <w:numPr>
          <w:ilvl w:val="0"/>
          <w:numId w:val="1"/>
        </w:numPr>
        <w:tabs>
          <w:tab w:val="clear" w:pos="1134"/>
          <w:tab w:val="left" w:pos="709" w:leader="none"/>
        </w:tabs>
        <w:bidi w:val="0"/>
        <w:spacing w:before="0" w:after="0"/>
        <w:ind w:hanging="283" w:left="709"/>
        <w:jc w:val="left"/>
        <w:rPr/>
      </w:pPr>
      <w:r>
        <w:rPr/>
        <w:t xml:space="preserve">The </w:t>
      </w:r>
      <w:r>
        <w:rPr>
          <w:b/>
        </w:rPr>
        <w:t>choice of SMS provider</w:t>
      </w:r>
      <w:r>
        <w:rPr/>
        <w:t xml:space="preserve"> for login codes, and an account in AXA’s name </w:t>
      </w:r>
    </w:p>
    <w:p>
      <w:pPr>
        <w:pStyle w:val="BodyText"/>
        <w:numPr>
          <w:ilvl w:val="0"/>
          <w:numId w:val="1"/>
        </w:numPr>
        <w:tabs>
          <w:tab w:val="clear" w:pos="1134"/>
          <w:tab w:val="left" w:pos="709" w:leader="none"/>
        </w:tabs>
        <w:bidi w:val="0"/>
        <w:spacing w:before="0" w:after="0"/>
        <w:ind w:hanging="283" w:left="709"/>
        <w:jc w:val="left"/>
        <w:rPr/>
      </w:pPr>
      <w:r>
        <w:rPr>
          <w:b/>
        </w:rPr>
        <w:t>Azure subscription access</w:t>
      </w:r>
      <w:r>
        <w:rPr/>
        <w:t xml:space="preserve"> </w:t>
      </w:r>
    </w:p>
    <w:p>
      <w:pPr>
        <w:pStyle w:val="BodyText"/>
        <w:numPr>
          <w:ilvl w:val="0"/>
          <w:numId w:val="1"/>
        </w:numPr>
        <w:tabs>
          <w:tab w:val="clear" w:pos="1134"/>
          <w:tab w:val="left" w:pos="709" w:leader="none"/>
        </w:tabs>
        <w:bidi w:val="0"/>
        <w:spacing w:before="0" w:after="0"/>
        <w:ind w:hanging="283" w:left="709"/>
        <w:jc w:val="left"/>
        <w:rPr/>
      </w:pPr>
      <w:r>
        <w:rPr/>
        <w:t xml:space="preserve">The </w:t>
      </w:r>
      <w:r>
        <w:rPr>
          <w:b/>
        </w:rPr>
        <w:t>expert master list</w:t>
      </w:r>
      <w:r>
        <w:rPr/>
        <w:t xml:space="preserve"> from NEXT3 (ID, name, mobile number), if that data already exists there </w:t>
      </w:r>
    </w:p>
    <w:p>
      <w:pPr>
        <w:pStyle w:val="BodyText"/>
        <w:numPr>
          <w:ilvl w:val="0"/>
          <w:numId w:val="1"/>
        </w:numPr>
        <w:tabs>
          <w:tab w:val="clear" w:pos="1134"/>
          <w:tab w:val="left" w:pos="709" w:leader="none"/>
        </w:tabs>
        <w:bidi w:val="0"/>
        <w:ind w:hanging="283" w:left="709"/>
        <w:jc w:val="left"/>
        <w:rPr/>
      </w:pPr>
      <w:r>
        <w:rPr>
          <w:b/>
        </w:rPr>
        <w:t>Answers to the questions</w:t>
      </w:r>
      <w:r>
        <w:rPr/>
        <w:t xml:space="preserve"> in sections 3.2, 3.3 and 4 </w:t>
      </w:r>
    </w:p>
    <w:p>
      <w:pPr>
        <w:pStyle w:val="Heading2"/>
        <w:bidi w:val="0"/>
        <w:jc w:val="left"/>
        <w:rPr/>
      </w:pPr>
      <w:r>
        <w:rPr/>
        <w:t>3. NEXT3 integration</w:t>
      </w:r>
    </w:p>
    <w:p>
      <w:pPr>
        <w:pStyle w:val="Heading3"/>
        <w:bidi w:val="0"/>
        <w:jc w:val="left"/>
        <w:rPr/>
      </w:pPr>
      <w:r>
        <w:rPr/>
        <w:t>3.1 The endpoints the application needs</w:t>
      </w:r>
    </w:p>
    <w:p>
      <w:pPr>
        <w:pStyle w:val="BodyText"/>
        <w:bidi w:val="0"/>
        <w:jc w:val="left"/>
        <w:rPr/>
      </w:pPr>
      <w:r>
        <w:rPr/>
        <w:t>Set out here so that the NEXT3 side can be scoped precisely. The paths shown are illustrative — what matters is the operation and the data, not the naming. Eight operations cover the whole of the BRD.</w:t>
      </w:r>
    </w:p>
    <w:tbl>
      <w:tblPr>
        <w:tblW w:w="9638" w:type="dxa"/>
        <w:jc w:val="left"/>
        <w:tblInd w:w="0" w:type="dxa"/>
        <w:tblLayout w:type="fixed"/>
        <w:tblCellMar>
          <w:top w:w="28" w:type="dxa"/>
          <w:left w:w="28" w:type="dxa"/>
          <w:bottom w:w="28" w:type="dxa"/>
          <w:right w:w="28" w:type="dxa"/>
        </w:tblCellMar>
      </w:tblPr>
      <w:tblGrid>
        <w:gridCol w:w="3700"/>
        <w:gridCol w:w="5938"/>
      </w:tblGrid>
      <w:tr>
        <w:trPr>
          <w:cantSplit/>
          <w:tblHeader/>
        </w:trPr>
        <w:tc>
          <w:tcPr>
            <w:tcW w:w="3700" w:type="dxa"/>
            <w:tcBorders/>
            <w:vAlign w:val="center"/>
          </w:tcPr>
          <w:p>
            <w:pPr>
              <w:pStyle w:val="TableHeading"/>
              <w:suppressLineNumbers/>
              <w:shd w:fill="1F3864" w:val="clear"/>
              <w:bidi w:val="0"/>
              <w:spacing w:before="40" w:after="40"/>
              <w:jc w:val="left"/>
              <w:rPr/>
            </w:pPr>
            <w:r>
              <w:rPr/>
              <w:t>Endpoint</w:t>
            </w:r>
          </w:p>
        </w:tc>
        <w:tc>
          <w:tcPr>
            <w:tcW w:w="5938" w:type="dxa"/>
            <w:tcBorders/>
            <w:vAlign w:val="center"/>
          </w:tcPr>
          <w:p>
            <w:pPr>
              <w:pStyle w:val="TableHeading"/>
              <w:suppressLineNumbers/>
              <w:shd w:fill="1F3864" w:val="clear"/>
              <w:bidi w:val="0"/>
              <w:spacing w:before="40" w:after="40"/>
              <w:jc w:val="left"/>
              <w:rPr/>
            </w:pPr>
            <w:r>
              <w:rPr/>
              <w:t>What the application needs it for</w:t>
            </w:r>
          </w:p>
        </w:tc>
      </w:tr>
      <w:tr>
        <w:trPr>
          <w:cantSplit/>
        </w:trPr>
        <w:tc>
          <w:tcPr>
            <w:tcW w:w="3700" w:type="dxa"/>
            <w:tcBorders/>
            <w:vAlign w:val="center"/>
          </w:tcPr>
          <w:p>
            <w:pPr>
              <w:pStyle w:val="TableContents"/>
              <w:bidi w:val="0"/>
              <w:spacing w:before="40" w:after="40"/>
              <w:jc w:val="left"/>
              <w:rPr/>
            </w:pPr>
            <w:r>
              <w:rPr>
                <w:b/>
              </w:rPr>
              <w:t>Authentication</w:t>
            </w:r>
            <w:r>
              <w:rPr/>
              <w:br/>
            </w:r>
            <w:r>
              <w:rPr>
                <w:i/>
              </w:rPr>
              <w:t>POST /auth/token</w:t>
            </w:r>
          </w:p>
        </w:tc>
        <w:tc>
          <w:tcPr>
            <w:tcW w:w="5938" w:type="dxa"/>
            <w:tcBorders/>
            <w:vAlign w:val="center"/>
          </w:tcPr>
          <w:p>
            <w:pPr>
              <w:pStyle w:val="TableContents"/>
              <w:bidi w:val="0"/>
              <w:spacing w:before="40" w:after="40"/>
              <w:jc w:val="left"/>
              <w:rPr/>
            </w:pPr>
            <w:r>
              <w:rPr/>
              <w:t>The application identifies itself to NEXT3 as a service. Whatever method NEXT3 already supports is fine — OAuth client credentials, an API key, or mutual TLS.</w:t>
            </w:r>
          </w:p>
        </w:tc>
      </w:tr>
      <w:tr>
        <w:trPr>
          <w:cantSplit/>
        </w:trPr>
        <w:tc>
          <w:tcPr>
            <w:tcW w:w="3700" w:type="dxa"/>
            <w:tcBorders/>
            <w:shd w:fill="F2F6FC" w:val="clear"/>
            <w:vAlign w:val="center"/>
          </w:tcPr>
          <w:p>
            <w:pPr>
              <w:pStyle w:val="TableContents"/>
              <w:bidi w:val="0"/>
              <w:spacing w:before="40" w:after="40"/>
              <w:jc w:val="left"/>
              <w:rPr/>
            </w:pPr>
            <w:r>
              <w:rPr>
                <w:b/>
              </w:rPr>
              <w:t>Claim details</w:t>
            </w:r>
            <w:r>
              <w:rPr/>
              <w:br/>
            </w:r>
            <w:r>
              <w:rPr>
                <w:i/>
              </w:rPr>
              <w:t>GET /claims/{visaNumber}</w:t>
            </w:r>
          </w:p>
        </w:tc>
        <w:tc>
          <w:tcPr>
            <w:tcW w:w="5938" w:type="dxa"/>
            <w:tcBorders/>
            <w:shd w:fill="F2F6FC" w:val="clear"/>
            <w:vAlign w:val="center"/>
          </w:tcPr>
          <w:p>
            <w:pPr>
              <w:pStyle w:val="TableContents"/>
              <w:bidi w:val="0"/>
              <w:spacing w:before="40" w:after="40"/>
              <w:jc w:val="left"/>
              <w:rPr/>
            </w:pPr>
            <w:r>
              <w:rPr/>
              <w:t>Everything the expert sees on arriving at the scene: visa number, policy number, plate number, insured name and phone, car make and model, city, accident date.</w:t>
            </w:r>
          </w:p>
        </w:tc>
      </w:tr>
      <w:tr>
        <w:trPr>
          <w:cantSplit/>
        </w:trPr>
        <w:tc>
          <w:tcPr>
            <w:tcW w:w="3700" w:type="dxa"/>
            <w:tcBorders/>
            <w:vAlign w:val="center"/>
          </w:tcPr>
          <w:p>
            <w:pPr>
              <w:pStyle w:val="TableContents"/>
              <w:bidi w:val="0"/>
              <w:spacing w:before="40" w:after="40"/>
              <w:jc w:val="left"/>
              <w:rPr/>
            </w:pPr>
            <w:r>
              <w:rPr>
                <w:b/>
              </w:rPr>
              <w:t>Claim search</w:t>
            </w:r>
            <w:r>
              <w:rPr/>
              <w:br/>
            </w:r>
            <w:r>
              <w:rPr>
                <w:i/>
              </w:rPr>
              <w:t>GET /claims/search</w:t>
            </w:r>
          </w:p>
        </w:tc>
        <w:tc>
          <w:tcPr>
            <w:tcW w:w="5938" w:type="dxa"/>
            <w:tcBorders/>
            <w:vAlign w:val="center"/>
          </w:tcPr>
          <w:p>
            <w:pPr>
              <w:pStyle w:val="TableContents"/>
              <w:bidi w:val="0"/>
              <w:spacing w:before="40" w:after="40"/>
              <w:jc w:val="left"/>
              <w:rPr/>
            </w:pPr>
            <w:r>
              <w:rPr/>
              <w:t>Search by plate number or visa number, for the expert’s “search previous claims” function and the claim officer’s visa lookup.</w:t>
            </w:r>
          </w:p>
        </w:tc>
      </w:tr>
      <w:tr>
        <w:trPr>
          <w:cantSplit/>
        </w:trPr>
        <w:tc>
          <w:tcPr>
            <w:tcW w:w="3700" w:type="dxa"/>
            <w:tcBorders/>
            <w:shd w:fill="F2F6FC" w:val="clear"/>
            <w:vAlign w:val="center"/>
          </w:tcPr>
          <w:p>
            <w:pPr>
              <w:pStyle w:val="TableContents"/>
              <w:bidi w:val="0"/>
              <w:spacing w:before="40" w:after="40"/>
              <w:jc w:val="left"/>
              <w:rPr/>
            </w:pPr>
            <w:r>
              <w:rPr>
                <w:b/>
              </w:rPr>
              <w:t>Record arrival</w:t>
            </w:r>
            <w:r>
              <w:rPr/>
              <w:br/>
            </w:r>
            <w:r>
              <w:rPr>
                <w:i/>
              </w:rPr>
              <w:t>POST /claims/{visaNumber}/arrival</w:t>
            </w:r>
          </w:p>
        </w:tc>
        <w:tc>
          <w:tcPr>
            <w:tcW w:w="5938" w:type="dxa"/>
            <w:tcBorders/>
            <w:shd w:fill="F2F6FC" w:val="clear"/>
            <w:vAlign w:val="center"/>
          </w:tcPr>
          <w:p>
            <w:pPr>
              <w:pStyle w:val="TableContents"/>
              <w:bidi w:val="0"/>
              <w:spacing w:before="40" w:after="40"/>
              <w:jc w:val="left"/>
              <w:rPr/>
            </w:pPr>
            <w:r>
              <w:rPr/>
              <w:t>Writes the “Expert Arrived” date, time and GPS location back to the claim.</w:t>
            </w:r>
          </w:p>
        </w:tc>
      </w:tr>
      <w:tr>
        <w:trPr>
          <w:cantSplit/>
        </w:trPr>
        <w:tc>
          <w:tcPr>
            <w:tcW w:w="3700" w:type="dxa"/>
            <w:tcBorders/>
            <w:vAlign w:val="center"/>
          </w:tcPr>
          <w:p>
            <w:pPr>
              <w:pStyle w:val="TableContents"/>
              <w:bidi w:val="0"/>
              <w:spacing w:before="40" w:after="40"/>
              <w:jc w:val="left"/>
              <w:rPr/>
            </w:pPr>
            <w:r>
              <w:rPr>
                <w:b/>
              </w:rPr>
              <w:t>Upload a document or photograph</w:t>
            </w:r>
            <w:r>
              <w:rPr/>
              <w:br/>
            </w:r>
            <w:r>
              <w:rPr>
                <w:i/>
              </w:rPr>
              <w:t>POST /claims/{visaNumber}/documents</w:t>
            </w:r>
          </w:p>
        </w:tc>
        <w:tc>
          <w:tcPr>
            <w:tcW w:w="5938" w:type="dxa"/>
            <w:tcBorders/>
            <w:vAlign w:val="center"/>
          </w:tcPr>
          <w:p>
            <w:pPr>
              <w:pStyle w:val="TableContents"/>
              <w:bidi w:val="0"/>
              <w:spacing w:before="40" w:after="40"/>
              <w:jc w:val="left"/>
              <w:rPr/>
            </w:pPr>
            <w:r>
              <w:rPr>
                <w:b/>
              </w:rPr>
              <w:t>The core of the whole application.</w:t>
            </w:r>
            <w:r>
              <w:rPr/>
              <w:t xml:space="preserve"> The file itself, plus its document type, the target folder (</w:t>
            </w:r>
            <w:r>
              <w:rPr>
                <w:i/>
              </w:rPr>
              <w:t>Expert documents</w:t>
            </w:r>
            <w:r>
              <w:rPr/>
              <w:t xml:space="preserve"> or </w:t>
            </w:r>
            <w:r>
              <w:rPr>
                <w:i/>
              </w:rPr>
              <w:t>Survey</w:t>
            </w:r>
            <w:r>
              <w:rPr/>
              <w:t>), and a reference identifier supplied by the application so that a retry cannot create a duplicate (see Q3).</w:t>
            </w:r>
          </w:p>
        </w:tc>
      </w:tr>
      <w:tr>
        <w:trPr>
          <w:cantSplit/>
        </w:trPr>
        <w:tc>
          <w:tcPr>
            <w:tcW w:w="3700" w:type="dxa"/>
            <w:tcBorders/>
            <w:shd w:fill="F2F6FC" w:val="clear"/>
            <w:vAlign w:val="center"/>
          </w:tcPr>
          <w:p>
            <w:pPr>
              <w:pStyle w:val="TableContents"/>
              <w:bidi w:val="0"/>
              <w:spacing w:before="40" w:after="40"/>
              <w:jc w:val="left"/>
              <w:rPr/>
            </w:pPr>
            <w:r>
              <w:rPr>
                <w:b/>
              </w:rPr>
              <w:t>Expert list</w:t>
            </w:r>
            <w:r>
              <w:rPr/>
              <w:br/>
            </w:r>
            <w:r>
              <w:rPr>
                <w:i/>
              </w:rPr>
              <w:t>GET /experts</w:t>
            </w:r>
          </w:p>
        </w:tc>
        <w:tc>
          <w:tcPr>
            <w:tcW w:w="5938" w:type="dxa"/>
            <w:tcBorders/>
            <w:shd w:fill="F2F6FC" w:val="clear"/>
            <w:vAlign w:val="center"/>
          </w:tcPr>
          <w:p>
            <w:pPr>
              <w:pStyle w:val="TableContents"/>
              <w:bidi w:val="0"/>
              <w:spacing w:before="40" w:after="40"/>
              <w:jc w:val="left"/>
              <w:rPr/>
            </w:pPr>
            <w:r>
              <w:rPr/>
              <w:t>Identifier, name, mobile number and active status, so app users can be matched to their NEXT3 identity.</w:t>
            </w:r>
          </w:p>
        </w:tc>
      </w:tr>
      <w:tr>
        <w:trPr>
          <w:cantSplit/>
        </w:trPr>
        <w:tc>
          <w:tcPr>
            <w:tcW w:w="3700" w:type="dxa"/>
            <w:tcBorders/>
            <w:vAlign w:val="center"/>
          </w:tcPr>
          <w:p>
            <w:pPr>
              <w:pStyle w:val="TableContents"/>
              <w:bidi w:val="0"/>
              <w:spacing w:before="40" w:after="40"/>
              <w:jc w:val="left"/>
              <w:rPr/>
            </w:pPr>
            <w:r>
              <w:rPr>
                <w:b/>
              </w:rPr>
              <w:t>Assignment notification</w:t>
            </w:r>
            <w:r>
              <w:rPr/>
              <w:br/>
            </w:r>
            <w:r>
              <w:rPr>
                <w:i/>
              </w:rPr>
              <w:t>a call from NEXT3 to the application</w:t>
            </w:r>
          </w:p>
        </w:tc>
        <w:tc>
          <w:tcPr>
            <w:tcW w:w="5938" w:type="dxa"/>
            <w:tcBorders/>
            <w:vAlign w:val="center"/>
          </w:tcPr>
          <w:p>
            <w:pPr>
              <w:pStyle w:val="TableContents"/>
              <w:bidi w:val="0"/>
              <w:spacing w:before="40" w:after="40"/>
              <w:jc w:val="left"/>
              <w:rPr/>
            </w:pPr>
            <w:r>
              <w:rPr/>
              <w:t>Tells the application that a visa has been assigned to an expert, so the expert’s phone can alert them. If NEXT3 cannot call outwards, the application will poll instead — see Q4.</w:t>
            </w:r>
          </w:p>
        </w:tc>
      </w:tr>
      <w:tr>
        <w:trPr>
          <w:cantSplit/>
        </w:trPr>
        <w:tc>
          <w:tcPr>
            <w:tcW w:w="3700" w:type="dxa"/>
            <w:tcBorders/>
            <w:shd w:fill="F2F6FC" w:val="clear"/>
            <w:vAlign w:val="center"/>
          </w:tcPr>
          <w:p>
            <w:pPr>
              <w:pStyle w:val="TableContents"/>
              <w:bidi w:val="0"/>
              <w:spacing w:before="40" w:after="40"/>
              <w:jc w:val="left"/>
              <w:rPr>
                <w:b/>
              </w:rPr>
            </w:pPr>
            <w:r>
              <w:rPr>
                <w:b/>
              </w:rPr>
              <w:t>A sandbox of all of the above</w:t>
            </w:r>
          </w:p>
        </w:tc>
        <w:tc>
          <w:tcPr>
            <w:tcW w:w="5938" w:type="dxa"/>
            <w:tcBorders/>
            <w:shd w:fill="F2F6FC" w:val="clear"/>
            <w:vAlign w:val="center"/>
          </w:tcPr>
          <w:p>
            <w:pPr>
              <w:pStyle w:val="TableContents"/>
              <w:bidi w:val="0"/>
              <w:spacing w:before="40" w:after="40"/>
              <w:jc w:val="left"/>
              <w:rPr/>
            </w:pPr>
            <w:r>
              <w:rPr/>
              <w:t>A non-production environment with representative test data, so the integration can be built and tested without touching live claims.</w:t>
            </w:r>
          </w:p>
        </w:tc>
      </w:tr>
    </w:tbl>
    <w:p>
      <w:pPr>
        <w:pStyle w:val="Heading3"/>
        <w:bidi w:val="0"/>
        <w:jc w:val="left"/>
        <w:rPr/>
      </w:pPr>
      <w:r>
        <w:rPr/>
        <w:t>3.2 Access and connectivity</w:t>
      </w:r>
    </w:p>
    <w:p>
      <w:pPr>
        <w:pStyle w:val="BodyText"/>
        <w:bidi w:val="0"/>
        <w:jc w:val="left"/>
        <w:rPr/>
      </w:pPr>
      <w:r>
        <w:rPr/>
        <w:t>These two shape the sequence of the entire build.</w:t>
      </w:r>
    </w:p>
    <w:tbl>
      <w:tblPr>
        <w:tblW w:w="9638" w:type="dxa"/>
        <w:jc w:val="left"/>
        <w:tblInd w:w="0" w:type="dxa"/>
        <w:tblLayout w:type="fixed"/>
        <w:tblCellMar>
          <w:top w:w="28" w:type="dxa"/>
          <w:left w:w="28" w:type="dxa"/>
          <w:bottom w:w="28" w:type="dxa"/>
          <w:right w:w="28" w:type="dxa"/>
        </w:tblCellMar>
      </w:tblPr>
      <w:tblGrid>
        <w:gridCol w:w="620"/>
        <w:gridCol w:w="5518"/>
        <w:gridCol w:w="3500"/>
      </w:tblGrid>
      <w:tr>
        <w:trPr>
          <w:cantSplit/>
          <w:tblHeader/>
        </w:trPr>
        <w:tc>
          <w:tcPr>
            <w:tcW w:w="620" w:type="dxa"/>
            <w:tcBorders/>
            <w:vAlign w:val="center"/>
          </w:tcPr>
          <w:p>
            <w:pPr>
              <w:pStyle w:val="TableHeading"/>
              <w:suppressLineNumbers/>
              <w:shd w:fill="1F3864" w:val="clear"/>
              <w:bidi w:val="0"/>
              <w:spacing w:before="40" w:after="40"/>
              <w:jc w:val="left"/>
              <w:rPr/>
            </w:pPr>
            <w:r>
              <w:rPr/>
              <w:t>#</w:t>
            </w:r>
          </w:p>
        </w:tc>
        <w:tc>
          <w:tcPr>
            <w:tcW w:w="5518" w:type="dxa"/>
            <w:tcBorders/>
            <w:vAlign w:val="center"/>
          </w:tcPr>
          <w:p>
            <w:pPr>
              <w:pStyle w:val="TableHeading"/>
              <w:suppressLineNumbers/>
              <w:shd w:fill="1F3864" w:val="clear"/>
              <w:bidi w:val="0"/>
              <w:spacing w:before="40" w:after="40"/>
              <w:jc w:val="left"/>
              <w:rPr/>
            </w:pPr>
            <w:r>
              <w:rPr/>
              <w:t>Question</w:t>
            </w:r>
          </w:p>
        </w:tc>
        <w:tc>
          <w:tcPr>
            <w:tcW w:w="3500" w:type="dxa"/>
            <w:tcBorders/>
            <w:vAlign w:val="center"/>
          </w:tcPr>
          <w:p>
            <w:pPr>
              <w:pStyle w:val="TableHeading"/>
              <w:suppressLineNumbers/>
              <w:shd w:fill="1F3864" w:val="clear"/>
              <w:bidi w:val="0"/>
              <w:spacing w:before="40" w:after="40"/>
              <w:jc w:val="left"/>
              <w:rPr/>
            </w:pPr>
            <w:r>
              <w:rPr/>
              <w:t>What it decides</w:t>
            </w:r>
          </w:p>
        </w:tc>
      </w:tr>
      <w:tr>
        <w:trPr>
          <w:cantSplit/>
        </w:trPr>
        <w:tc>
          <w:tcPr>
            <w:tcW w:w="620" w:type="dxa"/>
            <w:tcBorders/>
            <w:vAlign w:val="center"/>
          </w:tcPr>
          <w:p>
            <w:pPr>
              <w:pStyle w:val="TableContents"/>
              <w:bidi w:val="0"/>
              <w:spacing w:before="40" w:after="40"/>
              <w:jc w:val="left"/>
              <w:rPr/>
            </w:pPr>
            <w:r>
              <w:rPr/>
              <w:t>Q1</w:t>
            </w:r>
          </w:p>
        </w:tc>
        <w:tc>
          <w:tcPr>
            <w:tcW w:w="5518" w:type="dxa"/>
            <w:tcBorders/>
            <w:vAlign w:val="center"/>
          </w:tcPr>
          <w:p>
            <w:pPr>
              <w:pStyle w:val="TableContents"/>
              <w:bidi w:val="0"/>
              <w:spacing w:before="40" w:after="40"/>
              <w:jc w:val="left"/>
              <w:rPr/>
            </w:pPr>
            <w:r>
              <w:rPr/>
              <w:t xml:space="preserve">On what date can a NEXT3 </w:t>
            </w:r>
            <w:r>
              <w:rPr>
                <w:b/>
              </w:rPr>
              <w:t>sandbox</w:t>
            </w:r>
            <w:r>
              <w:rPr/>
              <w:t xml:space="preserve"> be made available — URL, credentials, authentication method (OAuth, API key or mutual TLS), rate limits and representative test data?</w:t>
            </w:r>
          </w:p>
        </w:tc>
        <w:tc>
          <w:tcPr>
            <w:tcW w:w="3500" w:type="dxa"/>
            <w:tcBorders/>
            <w:vAlign w:val="center"/>
          </w:tcPr>
          <w:p>
            <w:pPr>
              <w:pStyle w:val="TableContents"/>
              <w:bidi w:val="0"/>
              <w:spacing w:before="40" w:after="40"/>
              <w:jc w:val="left"/>
              <w:rPr/>
            </w:pPr>
            <w:r>
              <w:rPr/>
              <w:t>The date development stops being able to run on a simulator.</w:t>
            </w:r>
          </w:p>
        </w:tc>
      </w:tr>
      <w:tr>
        <w:trPr>
          <w:cantSplit/>
        </w:trPr>
        <w:tc>
          <w:tcPr>
            <w:tcW w:w="620" w:type="dxa"/>
            <w:tcBorders/>
            <w:shd w:fill="F2F6FC" w:val="clear"/>
            <w:vAlign w:val="center"/>
          </w:tcPr>
          <w:p>
            <w:pPr>
              <w:pStyle w:val="TableContents"/>
              <w:bidi w:val="0"/>
              <w:spacing w:before="40" w:after="40"/>
              <w:jc w:val="left"/>
              <w:rPr/>
            </w:pPr>
            <w:r>
              <w:rPr/>
              <w:t>Q2</w:t>
            </w:r>
          </w:p>
        </w:tc>
        <w:tc>
          <w:tcPr>
            <w:tcW w:w="5518" w:type="dxa"/>
            <w:tcBorders/>
            <w:shd w:fill="F2F6FC" w:val="clear"/>
            <w:vAlign w:val="center"/>
          </w:tcPr>
          <w:p>
            <w:pPr>
              <w:pStyle w:val="TableContents"/>
              <w:bidi w:val="0"/>
              <w:spacing w:before="40" w:after="40"/>
              <w:jc w:val="left"/>
              <w:rPr/>
            </w:pPr>
            <w:r>
              <w:rPr/>
              <w:t xml:space="preserve">Is the integration a web API, or a shared directory for files plus record inserts into the NEXT3 database? The BRD prerequisites refer to </w:t>
            </w:r>
            <w:r>
              <w:rPr>
                <w:i/>
              </w:rPr>
              <w:t>identifying the directory to upload photos and insert records</w:t>
            </w:r>
            <w:r>
              <w:rPr/>
              <w:t>, which suggests the second. If it is the second: which database platform does NEXT3 use.</w:t>
            </w:r>
          </w:p>
        </w:tc>
        <w:tc>
          <w:tcPr>
            <w:tcW w:w="3500" w:type="dxa"/>
            <w:tcBorders/>
            <w:shd w:fill="F2F6FC" w:val="clear"/>
            <w:vAlign w:val="center"/>
          </w:tcPr>
          <w:p>
            <w:pPr>
              <w:pStyle w:val="TableContents"/>
              <w:bidi w:val="0"/>
              <w:spacing w:before="40" w:after="40"/>
              <w:jc w:val="left"/>
              <w:rPr/>
            </w:pPr>
            <w:r>
              <w:rPr/>
              <w:t>These are two materially different builds. Confirming early avoids rework.</w:t>
            </w:r>
          </w:p>
        </w:tc>
      </w:tr>
    </w:tbl>
    <w:p>
      <w:pPr>
        <w:pStyle w:val="Heading3"/>
        <w:bidi w:val="0"/>
        <w:jc w:val="left"/>
        <w:rPr/>
      </w:pPr>
      <w:r>
        <w:rPr/>
        <w:t>3.3 Further NEXT3 questions — required before week 3</w:t>
      </w:r>
    </w:p>
    <w:p>
      <w:pPr>
        <w:pStyle w:val="BodyText"/>
        <w:bidi w:val="0"/>
        <w:jc w:val="left"/>
        <w:rPr/>
      </w:pPr>
      <w:r>
        <w:rPr/>
        <w:t>Development can start without these, but each one is needed before the feature it concerns can be finished, and all of them before the real integration is wired in.</w:t>
      </w:r>
    </w:p>
    <w:tbl>
      <w:tblPr>
        <w:tblW w:w="9638" w:type="dxa"/>
        <w:jc w:val="left"/>
        <w:tblInd w:w="0" w:type="dxa"/>
        <w:tblLayout w:type="fixed"/>
        <w:tblCellMar>
          <w:top w:w="28" w:type="dxa"/>
          <w:left w:w="28" w:type="dxa"/>
          <w:bottom w:w="28" w:type="dxa"/>
          <w:right w:w="28" w:type="dxa"/>
        </w:tblCellMar>
      </w:tblPr>
      <w:tblGrid>
        <w:gridCol w:w="620"/>
        <w:gridCol w:w="5518"/>
        <w:gridCol w:w="3500"/>
      </w:tblGrid>
      <w:tr>
        <w:trPr>
          <w:cantSplit/>
          <w:tblHeader/>
        </w:trPr>
        <w:tc>
          <w:tcPr>
            <w:tcW w:w="620" w:type="dxa"/>
            <w:tcBorders/>
            <w:vAlign w:val="center"/>
          </w:tcPr>
          <w:p>
            <w:pPr>
              <w:pStyle w:val="TableHeading"/>
              <w:suppressLineNumbers/>
              <w:shd w:fill="1F3864" w:val="clear"/>
              <w:bidi w:val="0"/>
              <w:spacing w:before="40" w:after="40"/>
              <w:jc w:val="left"/>
              <w:rPr/>
            </w:pPr>
            <w:r>
              <w:rPr/>
              <w:t>#</w:t>
            </w:r>
          </w:p>
        </w:tc>
        <w:tc>
          <w:tcPr>
            <w:tcW w:w="5518" w:type="dxa"/>
            <w:tcBorders/>
            <w:vAlign w:val="center"/>
          </w:tcPr>
          <w:p>
            <w:pPr>
              <w:pStyle w:val="TableHeading"/>
              <w:suppressLineNumbers/>
              <w:shd w:fill="1F3864" w:val="clear"/>
              <w:bidi w:val="0"/>
              <w:spacing w:before="40" w:after="40"/>
              <w:jc w:val="left"/>
              <w:rPr/>
            </w:pPr>
            <w:r>
              <w:rPr/>
              <w:t>Question</w:t>
            </w:r>
          </w:p>
        </w:tc>
        <w:tc>
          <w:tcPr>
            <w:tcW w:w="3500" w:type="dxa"/>
            <w:tcBorders/>
            <w:vAlign w:val="center"/>
          </w:tcPr>
          <w:p>
            <w:pPr>
              <w:pStyle w:val="TableHeading"/>
              <w:suppressLineNumbers/>
              <w:shd w:fill="1F3864" w:val="clear"/>
              <w:bidi w:val="0"/>
              <w:spacing w:before="40" w:after="40"/>
              <w:jc w:val="left"/>
              <w:rPr/>
            </w:pPr>
            <w:r>
              <w:rPr/>
              <w:t>Why it matters</w:t>
            </w:r>
          </w:p>
        </w:tc>
      </w:tr>
      <w:tr>
        <w:trPr>
          <w:cantSplit/>
        </w:trPr>
        <w:tc>
          <w:tcPr>
            <w:tcW w:w="620" w:type="dxa"/>
            <w:tcBorders/>
            <w:vAlign w:val="center"/>
          </w:tcPr>
          <w:p>
            <w:pPr>
              <w:pStyle w:val="TableContents"/>
              <w:bidi w:val="0"/>
              <w:spacing w:before="40" w:after="40"/>
              <w:jc w:val="left"/>
              <w:rPr/>
            </w:pPr>
            <w:r>
              <w:rPr/>
              <w:t>Q3</w:t>
            </w:r>
          </w:p>
        </w:tc>
        <w:tc>
          <w:tcPr>
            <w:tcW w:w="5518" w:type="dxa"/>
            <w:tcBorders/>
            <w:vAlign w:val="center"/>
          </w:tcPr>
          <w:p>
            <w:pPr>
              <w:pStyle w:val="TableContents"/>
              <w:bidi w:val="0"/>
              <w:spacing w:before="40" w:after="40"/>
              <w:jc w:val="left"/>
              <w:rPr/>
            </w:pPr>
            <w:r>
              <w:rPr/>
              <w:t>Does NEXT3 recognise a reference identifier supplied by the calling application, and reject or ignore a repeat submission carrying the same one?</w:t>
            </w:r>
          </w:p>
        </w:tc>
        <w:tc>
          <w:tcPr>
            <w:tcW w:w="3500" w:type="dxa"/>
            <w:tcBorders/>
            <w:vAlign w:val="center"/>
          </w:tcPr>
          <w:p>
            <w:pPr>
              <w:pStyle w:val="TableContents"/>
              <w:bidi w:val="0"/>
              <w:spacing w:before="40" w:after="40"/>
              <w:jc w:val="left"/>
              <w:rPr/>
            </w:pPr>
            <w:r>
              <w:rPr>
                <w:b/>
              </w:rPr>
              <w:t>Data integrity.</w:t>
            </w:r>
            <w:r>
              <w:rPr/>
              <w:t xml:space="preserve"> If a connection drops after NEXT3 has accepted a photograph but before it confirms, the application must retry. Without a reference that NEXT3 checks against, that retry creates a duplicate photograph in the claim file.</w:t>
            </w:r>
          </w:p>
        </w:tc>
      </w:tr>
      <w:tr>
        <w:trPr>
          <w:cantSplit/>
        </w:trPr>
        <w:tc>
          <w:tcPr>
            <w:tcW w:w="620" w:type="dxa"/>
            <w:tcBorders/>
            <w:shd w:fill="F2F6FC" w:val="clear"/>
            <w:vAlign w:val="center"/>
          </w:tcPr>
          <w:p>
            <w:pPr>
              <w:pStyle w:val="TableContents"/>
              <w:bidi w:val="0"/>
              <w:spacing w:before="40" w:after="40"/>
              <w:jc w:val="left"/>
              <w:rPr/>
            </w:pPr>
            <w:r>
              <w:rPr/>
              <w:t>Q4</w:t>
            </w:r>
          </w:p>
        </w:tc>
        <w:tc>
          <w:tcPr>
            <w:tcW w:w="5518" w:type="dxa"/>
            <w:tcBorders/>
            <w:shd w:fill="F2F6FC" w:val="clear"/>
            <w:vAlign w:val="center"/>
          </w:tcPr>
          <w:p>
            <w:pPr>
              <w:pStyle w:val="TableContents"/>
              <w:bidi w:val="0"/>
              <w:spacing w:before="40" w:after="40"/>
              <w:jc w:val="left"/>
              <w:rPr/>
            </w:pPr>
            <w:r>
              <w:rPr/>
              <w:t>How does the application learn that a new visa has been assigned to an expert? The BRD states that a back-office engine triggers the process, but not how that reaches the application. A notification sent from NEXT3 to the application is strongly preferred; otherwise the application must poll NEXT3 on a schedule.</w:t>
            </w:r>
          </w:p>
        </w:tc>
        <w:tc>
          <w:tcPr>
            <w:tcW w:w="3500" w:type="dxa"/>
            <w:tcBorders/>
            <w:shd w:fill="F2F6FC" w:val="clear"/>
            <w:vAlign w:val="center"/>
          </w:tcPr>
          <w:p>
            <w:pPr>
              <w:pStyle w:val="TableContents"/>
              <w:bidi w:val="0"/>
              <w:spacing w:before="40" w:after="40"/>
              <w:jc w:val="left"/>
              <w:rPr/>
            </w:pPr>
            <w:r>
              <w:rPr/>
              <w:t>The expert flow begins with a notification on the expert’s phone, so this must be resolved for the primary flow to work at all.</w:t>
            </w:r>
          </w:p>
        </w:tc>
      </w:tr>
      <w:tr>
        <w:trPr>
          <w:cantSplit/>
        </w:trPr>
        <w:tc>
          <w:tcPr>
            <w:tcW w:w="620" w:type="dxa"/>
            <w:tcBorders/>
            <w:vAlign w:val="center"/>
          </w:tcPr>
          <w:p>
            <w:pPr>
              <w:pStyle w:val="TableContents"/>
              <w:bidi w:val="0"/>
              <w:spacing w:before="40" w:after="40"/>
              <w:jc w:val="left"/>
              <w:rPr/>
            </w:pPr>
            <w:r>
              <w:rPr/>
              <w:t>Q5</w:t>
            </w:r>
          </w:p>
        </w:tc>
        <w:tc>
          <w:tcPr>
            <w:tcW w:w="5518" w:type="dxa"/>
            <w:tcBorders/>
            <w:vAlign w:val="center"/>
          </w:tcPr>
          <w:p>
            <w:pPr>
              <w:pStyle w:val="TableContents"/>
              <w:bidi w:val="0"/>
              <w:spacing w:before="40" w:after="40"/>
              <w:jc w:val="left"/>
              <w:rPr/>
            </w:pPr>
            <w:r>
              <w:rPr/>
              <w:t xml:space="preserve">For the </w:t>
            </w:r>
            <w:r>
              <w:rPr>
                <w:i/>
              </w:rPr>
              <w:t>Expert Arrived</w:t>
            </w:r>
            <w:r>
              <w:rPr/>
              <w:t xml:space="preserve"> update: which fields are written, by which endpoint, and in what date, time and coordinate formats?</w:t>
            </w:r>
          </w:p>
        </w:tc>
        <w:tc>
          <w:tcPr>
            <w:tcW w:w="3500" w:type="dxa"/>
            <w:tcBorders/>
            <w:vAlign w:val="center"/>
          </w:tcPr>
          <w:p>
            <w:pPr>
              <w:pStyle w:val="TableContents"/>
              <w:bidi w:val="0"/>
              <w:spacing w:before="40" w:after="40"/>
              <w:jc w:val="left"/>
              <w:rPr/>
            </w:pPr>
            <w:r>
              <w:rPr/>
              <w:t>Named explicitly in the BRD; cannot be implemented on assumption.</w:t>
            </w:r>
          </w:p>
        </w:tc>
      </w:tr>
      <w:tr>
        <w:trPr>
          <w:cantSplit/>
        </w:trPr>
        <w:tc>
          <w:tcPr>
            <w:tcW w:w="620" w:type="dxa"/>
            <w:tcBorders/>
            <w:shd w:fill="F2F6FC" w:val="clear"/>
            <w:vAlign w:val="center"/>
          </w:tcPr>
          <w:p>
            <w:pPr>
              <w:pStyle w:val="TableContents"/>
              <w:bidi w:val="0"/>
              <w:spacing w:before="40" w:after="40"/>
              <w:jc w:val="left"/>
              <w:rPr/>
            </w:pPr>
            <w:r>
              <w:rPr/>
              <w:t>Q6</w:t>
            </w:r>
          </w:p>
        </w:tc>
        <w:tc>
          <w:tcPr>
            <w:tcW w:w="5518" w:type="dxa"/>
            <w:tcBorders/>
            <w:shd w:fill="F2F6FC" w:val="clear"/>
            <w:vAlign w:val="center"/>
          </w:tcPr>
          <w:p>
            <w:pPr>
              <w:pStyle w:val="TableContents"/>
              <w:bidi w:val="0"/>
              <w:spacing w:before="40" w:after="40"/>
              <w:jc w:val="left"/>
              <w:rPr/>
            </w:pPr>
            <w:r>
              <w:rPr/>
              <w:t>The expert extract (NEXT3 identifier, name, mobile number): in what format, and is it supplied once or kept synchronised?</w:t>
            </w:r>
          </w:p>
        </w:tc>
        <w:tc>
          <w:tcPr>
            <w:tcW w:w="3500" w:type="dxa"/>
            <w:tcBorders/>
            <w:shd w:fill="F2F6FC" w:val="clear"/>
            <w:vAlign w:val="center"/>
          </w:tcPr>
          <w:p>
            <w:pPr>
              <w:pStyle w:val="TableContents"/>
              <w:bidi w:val="0"/>
              <w:spacing w:before="40" w:after="40"/>
              <w:jc w:val="left"/>
              <w:rPr/>
            </w:pPr>
            <w:r>
              <w:rPr/>
              <w:t>Required for onboarding and for matching an app user to their NEXT3 identity.</w:t>
            </w:r>
          </w:p>
        </w:tc>
      </w:tr>
      <w:tr>
        <w:trPr>
          <w:cantSplit/>
        </w:trPr>
        <w:tc>
          <w:tcPr>
            <w:tcW w:w="620" w:type="dxa"/>
            <w:tcBorders/>
            <w:vAlign w:val="center"/>
          </w:tcPr>
          <w:p>
            <w:pPr>
              <w:pStyle w:val="TableContents"/>
              <w:bidi w:val="0"/>
              <w:spacing w:before="40" w:after="40"/>
              <w:jc w:val="left"/>
              <w:rPr/>
            </w:pPr>
            <w:r>
              <w:rPr/>
              <w:t>Q7</w:t>
            </w:r>
          </w:p>
        </w:tc>
        <w:tc>
          <w:tcPr>
            <w:tcW w:w="5518" w:type="dxa"/>
            <w:tcBorders/>
            <w:vAlign w:val="center"/>
          </w:tcPr>
          <w:p>
            <w:pPr>
              <w:pStyle w:val="TableContents"/>
              <w:bidi w:val="0"/>
              <w:spacing w:before="40" w:after="40"/>
              <w:jc w:val="left"/>
              <w:rPr/>
            </w:pPr>
            <w:r>
              <w:rPr/>
              <w:t>Does NEXT3 accept audio files, and under which document type?</w:t>
            </w:r>
          </w:p>
        </w:tc>
        <w:tc>
          <w:tcPr>
            <w:tcW w:w="3500" w:type="dxa"/>
            <w:tcBorders/>
            <w:vAlign w:val="center"/>
          </w:tcPr>
          <w:p>
            <w:pPr>
              <w:pStyle w:val="TableContents"/>
              <w:bidi w:val="0"/>
              <w:spacing w:before="40" w:after="40"/>
              <w:jc w:val="left"/>
              <w:rPr/>
            </w:pPr>
            <w:r>
              <w:rPr/>
              <w:t>The BRD requires the expert to record a voice note. If NEXT3 cannot store audio, an alternative needs agreeing.</w:t>
            </w:r>
          </w:p>
        </w:tc>
      </w:tr>
      <w:tr>
        <w:trPr>
          <w:cantSplit/>
        </w:trPr>
        <w:tc>
          <w:tcPr>
            <w:tcW w:w="620" w:type="dxa"/>
            <w:tcBorders/>
            <w:shd w:fill="F2F6FC" w:val="clear"/>
            <w:vAlign w:val="center"/>
          </w:tcPr>
          <w:p>
            <w:pPr>
              <w:pStyle w:val="TableContents"/>
              <w:bidi w:val="0"/>
              <w:spacing w:before="40" w:after="40"/>
              <w:jc w:val="left"/>
              <w:rPr/>
            </w:pPr>
            <w:r>
              <w:rPr/>
              <w:t>Q8</w:t>
            </w:r>
          </w:p>
        </w:tc>
        <w:tc>
          <w:tcPr>
            <w:tcW w:w="5518" w:type="dxa"/>
            <w:tcBorders/>
            <w:shd w:fill="F2F6FC" w:val="clear"/>
            <w:vAlign w:val="center"/>
          </w:tcPr>
          <w:p>
            <w:pPr>
              <w:pStyle w:val="TableContents"/>
              <w:bidi w:val="0"/>
              <w:spacing w:before="40" w:after="40"/>
              <w:jc w:val="left"/>
              <w:rPr/>
            </w:pPr>
            <w:r>
              <w:rPr/>
              <w:t>Is there an AXA-standard car damage diagram or set of damage codes, or is free-form marking acceptable?</w:t>
            </w:r>
          </w:p>
        </w:tc>
        <w:tc>
          <w:tcPr>
            <w:tcW w:w="3500" w:type="dxa"/>
            <w:tcBorders/>
            <w:shd w:fill="F2F6FC" w:val="clear"/>
            <w:vAlign w:val="center"/>
          </w:tcPr>
          <w:p>
            <w:pPr>
              <w:pStyle w:val="TableContents"/>
              <w:bidi w:val="0"/>
              <w:spacing w:before="40" w:after="40"/>
              <w:jc w:val="left"/>
              <w:rPr/>
            </w:pPr>
            <w:r>
              <w:rPr/>
              <w:t>Affects whether the damage-marking screen must match an existing AXA convention.</w:t>
            </w:r>
          </w:p>
        </w:tc>
      </w:tr>
      <w:tr>
        <w:trPr>
          <w:cantSplit/>
        </w:trPr>
        <w:tc>
          <w:tcPr>
            <w:tcW w:w="620" w:type="dxa"/>
            <w:tcBorders/>
            <w:vAlign w:val="center"/>
          </w:tcPr>
          <w:p>
            <w:pPr>
              <w:pStyle w:val="TableContents"/>
              <w:bidi w:val="0"/>
              <w:spacing w:before="40" w:after="40"/>
              <w:jc w:val="left"/>
              <w:rPr/>
            </w:pPr>
            <w:r>
              <w:rPr/>
              <w:t>Q9</w:t>
            </w:r>
          </w:p>
        </w:tc>
        <w:tc>
          <w:tcPr>
            <w:tcW w:w="5518" w:type="dxa"/>
            <w:tcBorders/>
            <w:vAlign w:val="center"/>
          </w:tcPr>
          <w:p>
            <w:pPr>
              <w:pStyle w:val="TableContents"/>
              <w:bidi w:val="0"/>
              <w:spacing w:before="40" w:after="40"/>
              <w:jc w:val="left"/>
              <w:rPr/>
            </w:pPr>
            <w:r>
              <w:rPr/>
              <w:t>When a claim officer finds that a visa does not yet exist, is it created directly in NEXT3 by the officer, or must the application create it?</w:t>
            </w:r>
          </w:p>
        </w:tc>
        <w:tc>
          <w:tcPr>
            <w:tcW w:w="3500" w:type="dxa"/>
            <w:tcBorders/>
            <w:vAlign w:val="center"/>
          </w:tcPr>
          <w:p>
            <w:pPr>
              <w:pStyle w:val="TableContents"/>
              <w:bidi w:val="0"/>
              <w:spacing w:before="40" w:after="40"/>
              <w:jc w:val="left"/>
              <w:rPr/>
            </w:pPr>
            <w:r>
              <w:rPr/>
              <w:t>The BRD implies the officer leaves the app and retries. Confirmation avoids building an unnecessary function.</w:t>
            </w:r>
          </w:p>
        </w:tc>
      </w:tr>
    </w:tbl>
    <w:p>
      <w:pPr>
        <w:pStyle w:val="Heading2"/>
        <w:bidi w:val="0"/>
        <w:jc w:val="left"/>
        <w:rPr/>
      </w:pPr>
      <w:r>
        <w:rPr/>
        <w:t>4. Running cost of the application</w:t>
      </w:r>
    </w:p>
    <w:p>
      <w:pPr>
        <w:pStyle w:val="Heading3"/>
        <w:bidi w:val="0"/>
        <w:jc w:val="left"/>
        <w:rPr/>
      </w:pPr>
      <w:r>
        <w:rPr/>
        <w:t>4.1 Assumed volumes</w:t>
      </w:r>
    </w:p>
    <w:p>
      <w:pPr>
        <w:pStyle w:val="BodyText"/>
        <w:bidi w:val="0"/>
        <w:jc w:val="left"/>
        <w:rPr/>
      </w:pPr>
      <w:r>
        <w:rPr/>
        <w:t xml:space="preserve">The BRD does not state volumes, so the figures below assume </w:t>
      </w:r>
      <w:r>
        <w:rPr>
          <w:b/>
        </w:rPr>
        <w:t>approximately 100 claims per day</w:t>
      </w:r>
      <w:r>
        <w:rPr/>
        <w:t xml:space="preserve"> (about 3,000 per month), </w:t>
      </w:r>
      <w:r>
        <w:rPr>
          <w:b/>
        </w:rPr>
        <w:t>15 photographs per claim</w:t>
      </w:r>
      <w:r>
        <w:rPr/>
        <w:t xml:space="preserve"> at around 1.5 MB each, and </w:t>
      </w:r>
      <w:r>
        <w:rPr>
          <w:b/>
        </w:rPr>
        <w:t>approximately 200 users</w:t>
      </w:r>
      <w:r>
        <w:rPr/>
        <w:t xml:space="preserve"> across all four profiles. Cost scales with these numbers, so please correct them if they are wrong — they are the single largest influence on everything in this section.</w:t>
      </w:r>
    </w:p>
    <w:p>
      <w:pPr>
        <w:pStyle w:val="Heading3"/>
        <w:bidi w:val="0"/>
        <w:jc w:val="left"/>
        <w:rPr/>
      </w:pPr>
      <w:r>
        <w:rPr/>
        <w:t>4.2 Hosting and platform</w:t>
      </w:r>
    </w:p>
    <w:p>
      <w:pPr>
        <w:pStyle w:val="BodyText"/>
        <w:bidi w:val="0"/>
        <w:jc w:val="left"/>
        <w:rPr/>
      </w:pPr>
      <w:r>
        <w:rPr/>
        <w:t>Assumes deployment to Microsoft Azure.</w:t>
      </w:r>
    </w:p>
    <w:tbl>
      <w:tblPr>
        <w:tblW w:w="9638" w:type="dxa"/>
        <w:jc w:val="left"/>
        <w:tblInd w:w="0" w:type="dxa"/>
        <w:tblLayout w:type="fixed"/>
        <w:tblCellMar>
          <w:top w:w="28" w:type="dxa"/>
          <w:left w:w="28" w:type="dxa"/>
          <w:bottom w:w="28" w:type="dxa"/>
          <w:right w:w="28" w:type="dxa"/>
        </w:tblCellMar>
      </w:tblPr>
      <w:tblGrid>
        <w:gridCol w:w="2400"/>
        <w:gridCol w:w="5138"/>
        <w:gridCol w:w="2100"/>
      </w:tblGrid>
      <w:tr>
        <w:trPr>
          <w:cantSplit/>
          <w:tblHeader/>
        </w:trPr>
        <w:tc>
          <w:tcPr>
            <w:tcW w:w="2400" w:type="dxa"/>
            <w:tcBorders/>
            <w:vAlign w:val="center"/>
          </w:tcPr>
          <w:p>
            <w:pPr>
              <w:pStyle w:val="TableHeading"/>
              <w:suppressLineNumbers/>
              <w:shd w:fill="1F3864" w:val="clear"/>
              <w:bidi w:val="0"/>
              <w:spacing w:before="40" w:after="40"/>
              <w:jc w:val="left"/>
              <w:rPr/>
            </w:pPr>
            <w:r>
              <w:rPr/>
              <w:t>Component</w:t>
            </w:r>
          </w:p>
        </w:tc>
        <w:tc>
          <w:tcPr>
            <w:tcW w:w="5138" w:type="dxa"/>
            <w:tcBorders/>
            <w:vAlign w:val="center"/>
          </w:tcPr>
          <w:p>
            <w:pPr>
              <w:pStyle w:val="TableHeading"/>
              <w:suppressLineNumbers/>
              <w:shd w:fill="1F3864" w:val="clear"/>
              <w:bidi w:val="0"/>
              <w:spacing w:before="40" w:after="40"/>
              <w:jc w:val="left"/>
              <w:rPr/>
            </w:pPr>
            <w:r>
              <w:rPr/>
              <w:t>Purpose</w:t>
            </w:r>
          </w:p>
        </w:tc>
        <w:tc>
          <w:tcPr>
            <w:tcW w:w="2100" w:type="dxa"/>
            <w:tcBorders/>
            <w:vAlign w:val="center"/>
          </w:tcPr>
          <w:p>
            <w:pPr>
              <w:pStyle w:val="TableHeading"/>
              <w:suppressLineNumbers/>
              <w:shd w:fill="1F3864" w:val="clear"/>
              <w:bidi w:val="0"/>
              <w:spacing w:before="40" w:after="40"/>
              <w:jc w:val="left"/>
              <w:rPr/>
            </w:pPr>
            <w:r>
              <w:rPr/>
              <w:t>Monthly</w:t>
            </w:r>
          </w:p>
        </w:tc>
      </w:tr>
      <w:tr>
        <w:trPr>
          <w:cantSplit/>
        </w:trPr>
        <w:tc>
          <w:tcPr>
            <w:tcW w:w="2400" w:type="dxa"/>
            <w:tcBorders/>
            <w:vAlign w:val="center"/>
          </w:tcPr>
          <w:p>
            <w:pPr>
              <w:pStyle w:val="TableContents"/>
              <w:bidi w:val="0"/>
              <w:spacing w:before="40" w:after="40"/>
              <w:jc w:val="left"/>
              <w:rPr/>
            </w:pPr>
            <w:r>
              <w:rPr/>
              <w:t>Container Apps</w:t>
            </w:r>
          </w:p>
        </w:tc>
        <w:tc>
          <w:tcPr>
            <w:tcW w:w="5138" w:type="dxa"/>
            <w:tcBorders/>
            <w:vAlign w:val="center"/>
          </w:tcPr>
          <w:p>
            <w:pPr>
              <w:pStyle w:val="TableContents"/>
              <w:bidi w:val="0"/>
              <w:spacing w:before="40" w:after="40"/>
              <w:jc w:val="left"/>
              <w:rPr/>
            </w:pPr>
            <w:r>
              <w:rPr/>
              <w:t>The application and its interface</w:t>
            </w:r>
          </w:p>
        </w:tc>
        <w:tc>
          <w:tcPr>
            <w:tcW w:w="2100" w:type="dxa"/>
            <w:tcBorders/>
            <w:vAlign w:val="center"/>
          </w:tcPr>
          <w:p>
            <w:pPr>
              <w:pStyle w:val="TableContents"/>
              <w:bidi w:val="0"/>
              <w:spacing w:before="40" w:after="40"/>
              <w:jc w:val="left"/>
              <w:rPr/>
            </w:pPr>
            <w:r>
              <w:rPr/>
              <w:t>USD 20 – 30</w:t>
            </w:r>
          </w:p>
        </w:tc>
      </w:tr>
      <w:tr>
        <w:trPr>
          <w:cantSplit/>
        </w:trPr>
        <w:tc>
          <w:tcPr>
            <w:tcW w:w="2400" w:type="dxa"/>
            <w:tcBorders/>
            <w:shd w:fill="F2F6FC" w:val="clear"/>
            <w:vAlign w:val="center"/>
          </w:tcPr>
          <w:p>
            <w:pPr>
              <w:pStyle w:val="TableContents"/>
              <w:bidi w:val="0"/>
              <w:spacing w:before="40" w:after="40"/>
              <w:jc w:val="left"/>
              <w:rPr/>
            </w:pPr>
            <w:r>
              <w:rPr/>
              <w:t>Container Apps Job</w:t>
            </w:r>
          </w:p>
        </w:tc>
        <w:tc>
          <w:tcPr>
            <w:tcW w:w="5138" w:type="dxa"/>
            <w:tcBorders/>
            <w:shd w:fill="F2F6FC" w:val="clear"/>
            <w:vAlign w:val="center"/>
          </w:tcPr>
          <w:p>
            <w:pPr>
              <w:pStyle w:val="TableContents"/>
              <w:bidi w:val="0"/>
              <w:spacing w:before="40" w:after="40"/>
              <w:jc w:val="left"/>
              <w:rPr/>
            </w:pPr>
            <w:r>
              <w:rPr/>
              <w:t>Background transfer of photographs into NEXT3, including retries</w:t>
            </w:r>
          </w:p>
        </w:tc>
        <w:tc>
          <w:tcPr>
            <w:tcW w:w="2100" w:type="dxa"/>
            <w:tcBorders/>
            <w:shd w:fill="F2F6FC" w:val="clear"/>
            <w:vAlign w:val="center"/>
          </w:tcPr>
          <w:p>
            <w:pPr>
              <w:pStyle w:val="TableContents"/>
              <w:bidi w:val="0"/>
              <w:spacing w:before="40" w:after="40"/>
              <w:jc w:val="left"/>
              <w:rPr/>
            </w:pPr>
            <w:r>
              <w:rPr/>
              <w:t>USD 3 – 5</w:t>
            </w:r>
          </w:p>
        </w:tc>
      </w:tr>
      <w:tr>
        <w:trPr>
          <w:cantSplit/>
        </w:trPr>
        <w:tc>
          <w:tcPr>
            <w:tcW w:w="2400" w:type="dxa"/>
            <w:tcBorders/>
            <w:vAlign w:val="center"/>
          </w:tcPr>
          <w:p>
            <w:pPr>
              <w:pStyle w:val="TableContents"/>
              <w:bidi w:val="0"/>
              <w:spacing w:before="40" w:after="40"/>
              <w:jc w:val="left"/>
              <w:rPr/>
            </w:pPr>
            <w:r>
              <w:rPr/>
              <w:t>Azure SQL Database</w:t>
            </w:r>
          </w:p>
        </w:tc>
        <w:tc>
          <w:tcPr>
            <w:tcW w:w="5138" w:type="dxa"/>
            <w:tcBorders/>
            <w:vAlign w:val="center"/>
          </w:tcPr>
          <w:p>
            <w:pPr>
              <w:pStyle w:val="TableContents"/>
              <w:bidi w:val="0"/>
              <w:spacing w:before="40" w:after="40"/>
              <w:jc w:val="left"/>
              <w:rPr/>
            </w:pPr>
            <w:r>
              <w:rPr/>
              <w:t>Application data (users, claim tracking, audit trail)</w:t>
            </w:r>
          </w:p>
        </w:tc>
        <w:tc>
          <w:tcPr>
            <w:tcW w:w="2100" w:type="dxa"/>
            <w:tcBorders/>
            <w:vAlign w:val="center"/>
          </w:tcPr>
          <w:p>
            <w:pPr>
              <w:pStyle w:val="TableContents"/>
              <w:bidi w:val="0"/>
              <w:spacing w:before="40" w:after="40"/>
              <w:jc w:val="left"/>
              <w:rPr/>
            </w:pPr>
            <w:r>
              <w:rPr/>
              <w:t>USD 30 – 50</w:t>
            </w:r>
          </w:p>
        </w:tc>
      </w:tr>
      <w:tr>
        <w:trPr>
          <w:cantSplit/>
        </w:trPr>
        <w:tc>
          <w:tcPr>
            <w:tcW w:w="2400" w:type="dxa"/>
            <w:tcBorders/>
            <w:shd w:fill="F2F6FC" w:val="clear"/>
            <w:vAlign w:val="center"/>
          </w:tcPr>
          <w:p>
            <w:pPr>
              <w:pStyle w:val="TableContents"/>
              <w:bidi w:val="0"/>
              <w:spacing w:before="40" w:after="40"/>
              <w:jc w:val="left"/>
              <w:rPr/>
            </w:pPr>
            <w:r>
              <w:rPr/>
              <w:t>Blob Storage</w:t>
            </w:r>
          </w:p>
        </w:tc>
        <w:tc>
          <w:tcPr>
            <w:tcW w:w="5138" w:type="dxa"/>
            <w:tcBorders/>
            <w:shd w:fill="F2F6FC" w:val="clear"/>
            <w:vAlign w:val="center"/>
          </w:tcPr>
          <w:p>
            <w:pPr>
              <w:pStyle w:val="TableContents"/>
              <w:bidi w:val="0"/>
              <w:spacing w:before="40" w:after="40"/>
              <w:jc w:val="left"/>
              <w:rPr/>
            </w:pPr>
            <w:r>
              <w:rPr/>
              <w:t>Short-term holding of photographs before transfer to NEXT3</w:t>
            </w:r>
          </w:p>
        </w:tc>
        <w:tc>
          <w:tcPr>
            <w:tcW w:w="2100" w:type="dxa"/>
            <w:tcBorders/>
            <w:shd w:fill="F2F6FC" w:val="clear"/>
            <w:vAlign w:val="center"/>
          </w:tcPr>
          <w:p>
            <w:pPr>
              <w:pStyle w:val="TableContents"/>
              <w:bidi w:val="0"/>
              <w:spacing w:before="40" w:after="40"/>
              <w:jc w:val="left"/>
              <w:rPr/>
            </w:pPr>
            <w:r>
              <w:rPr/>
              <w:t>under USD 1</w:t>
            </w:r>
          </w:p>
        </w:tc>
      </w:tr>
      <w:tr>
        <w:trPr>
          <w:cantSplit/>
        </w:trPr>
        <w:tc>
          <w:tcPr>
            <w:tcW w:w="2400" w:type="dxa"/>
            <w:tcBorders/>
            <w:vAlign w:val="center"/>
          </w:tcPr>
          <w:p>
            <w:pPr>
              <w:pStyle w:val="TableContents"/>
              <w:bidi w:val="0"/>
              <w:spacing w:before="40" w:after="40"/>
              <w:jc w:val="left"/>
              <w:rPr/>
            </w:pPr>
            <w:r>
              <w:rPr/>
              <w:t>Container Registry</w:t>
            </w:r>
          </w:p>
        </w:tc>
        <w:tc>
          <w:tcPr>
            <w:tcW w:w="5138" w:type="dxa"/>
            <w:tcBorders/>
            <w:vAlign w:val="center"/>
          </w:tcPr>
          <w:p>
            <w:pPr>
              <w:pStyle w:val="TableContents"/>
              <w:bidi w:val="0"/>
              <w:spacing w:before="40" w:after="40"/>
              <w:jc w:val="left"/>
              <w:rPr/>
            </w:pPr>
            <w:r>
              <w:rPr/>
              <w:t>Deployment artifacts</w:t>
            </w:r>
          </w:p>
        </w:tc>
        <w:tc>
          <w:tcPr>
            <w:tcW w:w="2100" w:type="dxa"/>
            <w:tcBorders/>
            <w:vAlign w:val="center"/>
          </w:tcPr>
          <w:p>
            <w:pPr>
              <w:pStyle w:val="TableContents"/>
              <w:bidi w:val="0"/>
              <w:spacing w:before="40" w:after="40"/>
              <w:jc w:val="left"/>
              <w:rPr/>
            </w:pPr>
            <w:r>
              <w:rPr/>
              <w:t>USD 5</w:t>
            </w:r>
          </w:p>
        </w:tc>
      </w:tr>
      <w:tr>
        <w:trPr>
          <w:cantSplit/>
        </w:trPr>
        <w:tc>
          <w:tcPr>
            <w:tcW w:w="2400" w:type="dxa"/>
            <w:tcBorders/>
            <w:shd w:fill="F2F6FC" w:val="clear"/>
            <w:vAlign w:val="center"/>
          </w:tcPr>
          <w:p>
            <w:pPr>
              <w:pStyle w:val="TableContents"/>
              <w:bidi w:val="0"/>
              <w:spacing w:before="40" w:after="40"/>
              <w:jc w:val="left"/>
              <w:rPr/>
            </w:pPr>
            <w:r>
              <w:rPr/>
              <w:t>Application Insights</w:t>
            </w:r>
          </w:p>
        </w:tc>
        <w:tc>
          <w:tcPr>
            <w:tcW w:w="5138" w:type="dxa"/>
            <w:tcBorders/>
            <w:shd w:fill="F2F6FC" w:val="clear"/>
            <w:vAlign w:val="center"/>
          </w:tcPr>
          <w:p>
            <w:pPr>
              <w:pStyle w:val="TableContents"/>
              <w:bidi w:val="0"/>
              <w:spacing w:before="40" w:after="40"/>
              <w:jc w:val="left"/>
              <w:rPr/>
            </w:pPr>
            <w:r>
              <w:rPr/>
              <w:t>Monitoring, error alerting and support diagnostics</w:t>
            </w:r>
          </w:p>
        </w:tc>
        <w:tc>
          <w:tcPr>
            <w:tcW w:w="2100" w:type="dxa"/>
            <w:tcBorders/>
            <w:shd w:fill="F2F6FC" w:val="clear"/>
            <w:vAlign w:val="center"/>
          </w:tcPr>
          <w:p>
            <w:pPr>
              <w:pStyle w:val="TableContents"/>
              <w:bidi w:val="0"/>
              <w:spacing w:before="40" w:after="40"/>
              <w:jc w:val="left"/>
              <w:rPr/>
            </w:pPr>
            <w:r>
              <w:rPr/>
              <w:t>USD 10</w:t>
            </w:r>
          </w:p>
        </w:tc>
      </w:tr>
      <w:tr>
        <w:trPr>
          <w:cantSplit/>
        </w:trPr>
        <w:tc>
          <w:tcPr>
            <w:tcW w:w="2400" w:type="dxa"/>
            <w:tcBorders/>
            <w:vAlign w:val="center"/>
          </w:tcPr>
          <w:p>
            <w:pPr>
              <w:pStyle w:val="TableContents"/>
              <w:bidi w:val="0"/>
              <w:spacing w:before="40" w:after="40"/>
              <w:jc w:val="left"/>
              <w:rPr>
                <w:b/>
              </w:rPr>
            </w:pPr>
            <w:r>
              <w:rPr>
                <w:b/>
              </w:rPr>
              <w:t>Total hosting</w:t>
            </w:r>
          </w:p>
        </w:tc>
        <w:tc>
          <w:tcPr>
            <w:tcW w:w="5138" w:type="dxa"/>
            <w:tcBorders/>
            <w:vAlign w:val="center"/>
          </w:tcPr>
          <w:p>
            <w:pPr>
              <w:pStyle w:val="TableContents"/>
              <w:bidi w:val="0"/>
              <w:spacing w:before="40" w:after="40"/>
              <w:jc w:val="left"/>
              <w:rPr>
                <w:sz w:val="4"/>
                <w:szCs w:val="4"/>
              </w:rPr>
            </w:pPr>
            <w:r>
              <w:rPr>
                <w:sz w:val="4"/>
                <w:szCs w:val="4"/>
              </w:rPr>
            </w:r>
          </w:p>
        </w:tc>
        <w:tc>
          <w:tcPr>
            <w:tcW w:w="2100" w:type="dxa"/>
            <w:tcBorders/>
            <w:vAlign w:val="center"/>
          </w:tcPr>
          <w:p>
            <w:pPr>
              <w:pStyle w:val="TableContents"/>
              <w:bidi w:val="0"/>
              <w:spacing w:before="40" w:after="40"/>
              <w:jc w:val="left"/>
              <w:rPr>
                <w:b/>
              </w:rPr>
            </w:pPr>
            <w:r>
              <w:rPr>
                <w:b/>
              </w:rPr>
              <w:t>USD 70 – 100</w:t>
            </w:r>
          </w:p>
        </w:tc>
      </w:tr>
    </w:tbl>
    <w:p>
      <w:pPr>
        <w:pStyle w:val="BodyText"/>
        <w:bidi w:val="0"/>
        <w:jc w:val="left"/>
        <w:rPr/>
      </w:pPr>
      <w:r>
        <w:rPr/>
        <w:t>Storage is deliberately small, and it stays small. Photographs are held only until NEXT3 confirms receipt, then removed — NEXT3 remains the system of record, exactly as it is today.</w:t>
      </w:r>
    </w:p>
    <w:p>
      <w:pPr>
        <w:pStyle w:val="Heading3"/>
        <w:bidi w:val="0"/>
        <w:jc w:val="left"/>
        <w:rPr/>
      </w:pPr>
      <w:r>
        <w:rPr/>
        <w:t>4.3 Environments — a decision required from AXA</w:t>
      </w:r>
    </w:p>
    <w:p>
      <w:pPr>
        <w:pStyle w:val="BodyText"/>
        <w:bidi w:val="0"/>
        <w:jc w:val="left"/>
        <w:rPr/>
      </w:pPr>
      <w:r>
        <w:rPr>
          <w:b/>
        </w:rPr>
        <w:t>Does AXA want one environment or two?</w:t>
      </w:r>
      <w:r>
        <w:rPr/>
        <w:t xml:space="preserve"> A single production environment is the cheaper option. Two — a test environment alongside production — means fixes and changes can be demonstrated and approved without touching live claim data, which AXA will almost certainly want once the application is in daily use. Two environments roughly doubles the figures in 4.2, and pairs naturally with a NEXT3 sandbox alongside NEXT3 production. </w:t>
      </w:r>
      <w:r>
        <w:rPr>
          <w:b/>
        </w:rPr>
        <w:t>My recommendation is two.</w:t>
      </w:r>
    </w:p>
    <w:p>
      <w:pPr>
        <w:pStyle w:val="Heading3"/>
        <w:bidi w:val="0"/>
        <w:jc w:val="left"/>
        <w:rPr/>
      </w:pPr>
      <w:r>
        <w:rPr/>
        <w:t>4.4 SMS for login — a decision required from AXA</w:t>
      </w:r>
    </w:p>
    <w:p>
      <w:pPr>
        <w:pStyle w:val="BodyText"/>
        <w:bidi w:val="0"/>
        <w:jc w:val="left"/>
        <w:rPr/>
      </w:pPr>
      <w:r>
        <w:rPr/>
        <w:t xml:space="preserve">Users log in with their mobile number and a one-time code sent by SMS, as described in the BRD. This requires a messaging account. </w:t>
      </w:r>
      <w:r>
        <w:rPr>
          <w:b/>
        </w:rPr>
        <w:t>I have deliberately not quoted a figure</w:t>
      </w:r>
      <w:r>
        <w:rPr/>
        <w:t>, because the per-message rate varies by provider and by country to a degree that any estimate would be misleading — Lebanon in particular is priced very differently across providers.</w:t>
      </w:r>
    </w:p>
    <w:p>
      <w:pPr>
        <w:pStyle w:val="Heading3"/>
        <w:bidi w:val="0"/>
        <w:jc w:val="left"/>
        <w:rPr/>
      </w:pPr>
      <w:r>
        <w:rPr/>
        <w:t>4.5 Mobile distribution</w:t>
      </w:r>
    </w:p>
    <w:p>
      <w:pPr>
        <w:pStyle w:val="BodyText"/>
        <w:bidi w:val="0"/>
        <w:jc w:val="left"/>
        <w:rPr/>
      </w:pPr>
      <w:r>
        <w:rPr/>
        <w:t>Required only if the application is published through the public app stores. Both accounts should be held in AXA’s name, as they carry the AXA identity under which the application is published.</w:t>
      </w:r>
    </w:p>
    <w:tbl>
      <w:tblPr>
        <w:tblW w:w="9638" w:type="dxa"/>
        <w:jc w:val="left"/>
        <w:tblInd w:w="0" w:type="dxa"/>
        <w:tblLayout w:type="fixed"/>
        <w:tblCellMar>
          <w:top w:w="28" w:type="dxa"/>
          <w:left w:w="28" w:type="dxa"/>
          <w:bottom w:w="28" w:type="dxa"/>
          <w:right w:w="28" w:type="dxa"/>
        </w:tblCellMar>
      </w:tblPr>
      <w:tblGrid>
        <w:gridCol w:w="6000"/>
        <w:gridCol w:w="3638"/>
      </w:tblGrid>
      <w:tr>
        <w:trPr>
          <w:cantSplit/>
          <w:tblHeader/>
        </w:trPr>
        <w:tc>
          <w:tcPr>
            <w:tcW w:w="6000" w:type="dxa"/>
            <w:tcBorders/>
            <w:vAlign w:val="center"/>
          </w:tcPr>
          <w:p>
            <w:pPr>
              <w:pStyle w:val="TableHeading"/>
              <w:suppressLineNumbers/>
              <w:shd w:fill="1F3864" w:val="clear"/>
              <w:bidi w:val="0"/>
              <w:spacing w:before="40" w:after="40"/>
              <w:jc w:val="left"/>
              <w:rPr/>
            </w:pPr>
            <w:r>
              <w:rPr/>
              <w:t>Item</w:t>
            </w:r>
          </w:p>
        </w:tc>
        <w:tc>
          <w:tcPr>
            <w:tcW w:w="3638" w:type="dxa"/>
            <w:tcBorders/>
            <w:vAlign w:val="center"/>
          </w:tcPr>
          <w:p>
            <w:pPr>
              <w:pStyle w:val="TableHeading"/>
              <w:suppressLineNumbers/>
              <w:shd w:fill="1F3864" w:val="clear"/>
              <w:bidi w:val="0"/>
              <w:spacing w:before="40" w:after="40"/>
              <w:jc w:val="left"/>
              <w:rPr/>
            </w:pPr>
            <w:r>
              <w:rPr/>
              <w:t>Cost</w:t>
            </w:r>
          </w:p>
        </w:tc>
      </w:tr>
      <w:tr>
        <w:trPr>
          <w:cantSplit/>
        </w:trPr>
        <w:tc>
          <w:tcPr>
            <w:tcW w:w="6000" w:type="dxa"/>
            <w:tcBorders/>
            <w:vAlign w:val="center"/>
          </w:tcPr>
          <w:p>
            <w:pPr>
              <w:pStyle w:val="TableContents"/>
              <w:bidi w:val="0"/>
              <w:spacing w:before="40" w:after="40"/>
              <w:jc w:val="left"/>
              <w:rPr/>
            </w:pPr>
            <w:r>
              <w:rPr/>
              <w:t>Apple Developer Program</w:t>
            </w:r>
          </w:p>
        </w:tc>
        <w:tc>
          <w:tcPr>
            <w:tcW w:w="3638" w:type="dxa"/>
            <w:tcBorders/>
            <w:vAlign w:val="center"/>
          </w:tcPr>
          <w:p>
            <w:pPr>
              <w:pStyle w:val="TableContents"/>
              <w:bidi w:val="0"/>
              <w:spacing w:before="40" w:after="40"/>
              <w:jc w:val="left"/>
              <w:rPr/>
            </w:pPr>
            <w:r>
              <w:rPr/>
              <w:t>USD 99 per year</w:t>
            </w:r>
          </w:p>
        </w:tc>
      </w:tr>
      <w:tr>
        <w:trPr>
          <w:cantSplit/>
        </w:trPr>
        <w:tc>
          <w:tcPr>
            <w:tcW w:w="6000" w:type="dxa"/>
            <w:tcBorders/>
            <w:shd w:fill="F2F6FC" w:val="clear"/>
            <w:vAlign w:val="center"/>
          </w:tcPr>
          <w:p>
            <w:pPr>
              <w:pStyle w:val="TableContents"/>
              <w:bidi w:val="0"/>
              <w:spacing w:before="40" w:after="40"/>
              <w:jc w:val="left"/>
              <w:rPr/>
            </w:pPr>
            <w:r>
              <w:rPr/>
              <w:t>Google Play developer registration</w:t>
            </w:r>
          </w:p>
        </w:tc>
        <w:tc>
          <w:tcPr>
            <w:tcW w:w="3638" w:type="dxa"/>
            <w:tcBorders/>
            <w:shd w:fill="F2F6FC" w:val="clear"/>
            <w:vAlign w:val="center"/>
          </w:tcPr>
          <w:p>
            <w:pPr>
              <w:pStyle w:val="TableContents"/>
              <w:bidi w:val="0"/>
              <w:spacing w:before="40" w:after="40"/>
              <w:jc w:val="left"/>
              <w:rPr/>
            </w:pPr>
            <w:r>
              <w:rPr/>
              <w:t>USD 25 one-off</w:t>
            </w:r>
          </w:p>
        </w:tc>
      </w:tr>
    </w:tbl>
    <w:p>
      <w:pPr>
        <w:pStyle w:val="BodyText"/>
        <w:bidi w:val="0"/>
        <w:spacing w:before="0" w:after="160"/>
        <w:jc w:val="left"/>
        <w:rPr/>
      </w:pPr>
      <w:r>
        <w:rPr/>
        <w:t>If the application is instead distributed internally through AXA’s own device management, app store review cycles are avoided altogether.</w:t>
      </w:r>
    </w:p>
    <w:sectPr>
      <w:footerReference w:type="default" r:id="rIdFtr1"/>
      <w:type w:val="nextPage"/>
      <w:pgSz w:w="11906" w:h="16838"/>
      <w:pgMar w:left="1134" w:right="1134" w:gutter="0" w:header="567" w:top="1134" w:footer="680" w:bottom="1134"/>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altName w:val="Arial"/>
    <w:charset w:val="00"/>
    <w:family w:val="auto"/>
    <w:pitch w:val="default"/>
  </w:font>
  <w:font w:name="OpenSymbol">
    <w:altName w:val="Arial Unicode MS"/>
    <w:charset w:val="02"/>
    <w:family w:val="auto"/>
    <w:pitch w:val="default"/>
  </w:font>
  <w:font w:name="Liberation Sans">
    <w:altName w:val="Arial"/>
    <w:charset w:val="00"/>
    <w:family w:val="swiss"/>
    <w:pitch w:val="variable"/>
  </w:font>
  <w:font w:name="Symbol">
    <w:charset w:val="02"/>
    <w:family w:val="auto"/>
    <w:pitch w:val="default"/>
  </w:font>
</w:fonts>
</file>

<file path=word/footer1.xml><?xml version="1.0" encoding="utf-8"?>
<w:ftr xmlns:w="http://schemas.openxmlformats.org/wordprocessingml/2006/main" xmlns:r="http://schemas.openxmlformats.org/officeDocument/2006/relationships">
  <w:p>
    <w:pPr>
      <w:tabs>
        <w:tab w:val="right" w:pos="9638"/>
      </w:tabs>
      <w:rPr>
        <w:rFonts w:ascii="Calibri" w:hAnsi="Calibri"/>
        <w:sz w:val="16"/>
        <w:color w:val="767171"/>
      </w:rPr>
    </w:pPr>
    <w:r>
      <w:rPr>
        <w:rFonts w:ascii="Calibri" w:hAnsi="Calibri"/>
        <w:sz w:val="16"/>
        <w:color w:val="767171"/>
      </w:rPr>
      <w:t xml:space="preserve">AXA Motor Claim Management App — Integration Questions and Running Costs — v0.4</w:t>
    </w:r>
    <w:r>
      <w:rPr>
        <w:rFonts w:ascii="Calibri" w:hAnsi="Calibri"/>
        <w:sz w:val="16"/>
        <w:color w:val="767171"/>
      </w:rPr>
      <w:tab/>
      <w:t xml:space="preserve">Page </w:t>
    </w:r>
    <w:r>
      <w:rPr>
        <w:rFonts w:ascii="Calibri" w:hAnsi="Calibri"/>
        <w:sz w:val="16"/>
        <w:color w:val="767171"/>
      </w:rPr>
      <w:fldChar w:fldCharType="begin"/>
    </w:r>
    <w:r>
      <w:rPr>
        <w:rFonts w:ascii="Calibri" w:hAnsi="Calibri"/>
        <w:sz w:val="16"/>
        <w:color w:val="767171"/>
      </w:rPr>
      <w:instrText xml:space="preserve"> PAGE </w:instrText>
    </w:r>
    <w:r>
      <w:rPr>
        <w:rFonts w:ascii="Calibri" w:hAnsi="Calibri"/>
        <w:sz w:val="16"/>
        <w:color w:val="767171"/>
      </w:rPr>
      <w:fldChar w:fldCharType="separate"/>
    </w:r>
    <w:r>
      <w:rPr>
        <w:rFonts w:ascii="Calibri" w:hAnsi="Calibri"/>
        <w:sz w:val="16"/>
        <w:color w:val="767171"/>
      </w:rPr>
      <w:t>1</w:t>
    </w:r>
    <w:r>
      <w:rPr>
        <w:rFonts w:ascii="Calibri" w:hAnsi="Calibri"/>
        <w:sz w:val="16"/>
        <w:color w:val="767171"/>
      </w:rPr>
      <w:fldChar w:fldCharType="end"/>
    </w:r>
    <w:r>
      <w:rPr>
        <w:rFonts w:ascii="Calibri" w:hAnsi="Calibri"/>
        <w:sz w:val="16"/>
        <w:color w:val="767171"/>
      </w:rPr>
      <w:t xml:space="preserve"> of </w:t>
    </w:r>
    <w:r>
      <w:rPr>
        <w:rFonts w:ascii="Calibri" w:hAnsi="Calibri"/>
        <w:sz w:val="16"/>
        <w:color w:val="767171"/>
      </w:rPr>
      <w:fldChar w:fldCharType="begin"/>
    </w:r>
    <w:r>
      <w:rPr>
        <w:rFonts w:ascii="Calibri" w:hAnsi="Calibri"/>
        <w:sz w:val="16"/>
        <w:color w:val="767171"/>
      </w:rPr>
      <w:instrText xml:space="preserve"> NUMPAGES </w:instrText>
    </w:r>
    <w:r>
      <w:rPr>
        <w:rFonts w:ascii="Calibri" w:hAnsi="Calibri"/>
        <w:sz w:val="16"/>
        <w:color w:val="767171"/>
      </w:rPr>
      <w:fldChar w:fldCharType="separate"/>
    </w:r>
    <w:r>
      <w:rPr>
        <w:rFonts w:ascii="Calibri" w:hAnsi="Calibri"/>
        <w:sz w:val="16"/>
        <w:color w:val="767171"/>
      </w:rPr>
      <w:t>1</w:t>
    </w:r>
    <w:r>
      <w:rPr>
        <w:rFonts w:ascii="Calibri" w:hAnsi="Calibri"/>
        <w:sz w:val="16"/>
        <w:color w:val="767171"/>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none"/>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48"/>
    </w:pPr>
    <w:rPr>
      <w:rFonts w:ascii="Calibri;Arial;sans-serif" w:hAnsi="Calibri;Arial;sans-serif" w:eastAsia="Calibri;Arial;sans-serif" w:cs="Calibri;Arial;sans-serif"/>
      <w:color w:val="1A1A1A"/>
      <w:sz w:val="22"/>
      <w:szCs w:val="22"/>
      <w:lang w:val="en-US" w:eastAsia="zh-CN" w:bidi="hi-IN"/>
    </w:rPr>
  </w:style>
  <w:style w:type="paragraph" w:styleId="Heading1">
    <w:name w:val="heading 1"/>
    <w:basedOn w:val="Heading"/>
    <w:next w:val="BodyText"/>
    <w:qFormat/>
    <w:pPr>
      <w:spacing w:before="240" w:after="40"/>
    </w:pPr>
    <w:rPr>
      <w:rFonts w:ascii="Calibri;Arial;sans-serif" w:hAnsi="Calibri;Arial;sans-serif" w:eastAsia="Calibri;Arial;sans-serif" w:cs="Calibri;Arial;sans-serif"/>
      <w:b/>
      <w:bCs/>
      <w:color w:val="1F3864"/>
      <w:sz w:val="40"/>
      <w:szCs w:val="40"/>
    </w:rPr>
  </w:style>
  <w:style w:type="paragraph" w:styleId="Heading2">
    <w:name w:val="heading 2"/>
    <w:basedOn w:val="Heading"/>
    <w:next w:val="BodyText"/>
    <w:qFormat/>
    <w:pPr>
      <w:pBdr>
        <w:bottom w:val="single" w:sz="2" w:space="2" w:color="B4C6E7"/>
      </w:pBdr>
      <w:spacing w:before="360" w:after="80"/>
      <w:outlineLvl w:val="1"/>
    </w:pPr>
    <w:rPr>
      <w:rFonts w:ascii="Calibri;Arial;sans-serif" w:hAnsi="Calibri;Arial;sans-serif" w:eastAsia="Calibri;Arial;sans-serif" w:cs="Calibri;Arial;sans-serif"/>
      <w:b/>
      <w:bCs/>
      <w:color w:val="1F3864"/>
      <w:sz w:val="28"/>
      <w:szCs w:val="28"/>
    </w:rPr>
  </w:style>
  <w:style w:type="paragraph" w:styleId="Heading3">
    <w:name w:val="heading 3"/>
    <w:basedOn w:val="Heading"/>
    <w:next w:val="BodyText"/>
    <w:qFormat/>
    <w:pPr>
      <w:spacing w:before="240" w:after="60"/>
      <w:outlineLvl w:val="2"/>
    </w:pPr>
    <w:rPr>
      <w:rFonts w:ascii="Calibri;Arial;sans-serif" w:hAnsi="Calibri;Arial;sans-serif" w:eastAsia="Calibri;Arial;sans-serif" w:cs="Calibri;Arial;sans-serif"/>
      <w:b/>
      <w:bCs/>
      <w:color w:val="2E5496"/>
      <w:sz w:val="23"/>
      <w:szCs w:val="23"/>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Index">
    <w:name w:val="Index"/>
    <w:basedOn w:val="Normal"/>
    <w:qFormat/>
    <w:pPr>
      <w:suppressLineNumbers/>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List">
    <w:name w:val="List"/>
    <w:basedOn w:val="BodyText"/>
    <w:pPr/>
    <w:rPr>
      <w:rFonts w:cs="Lucida Sans"/>
    </w:rPr>
  </w:style>
  <w:style w:type="paragraph" w:styleId="BodyText">
    <w:name w:val="Body Text"/>
    <w:basedOn w:val="Normal"/>
    <w:pPr>
      <w:spacing w:before="0" w:after="160"/>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shd w:fill="1F3864" w:val="clear"/>
      <w:jc w:val="left"/>
    </w:pPr>
    <w:rPr>
      <w:b/>
      <w:bCs/>
      <w:color w:val="FFFFFF"/>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 Id="rIdFtr1" Type="http://schemas.openxmlformats.org/officeDocument/2006/relationships/footer" Target="footer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AXA Motor Claims - Integration Questions and Running Costs</dc:title>
</cp:coreProperties>
</file>

<file path=docProps/custom.xml><?xml version="1.0" encoding="utf-8"?>
<Properties xmlns="http://schemas.openxmlformats.org/officeDocument/2006/custom-properties" xmlns:vt="http://schemas.openxmlformats.org/officeDocument/2006/docPropsVTypes"/>
</file>