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Mobile Application for Motor Claim Management</w:t>
      </w:r>
    </w:p>
    <w:p>
      <w:pPr>
        <w:pStyle w:val="BodyTextsub"/>
        <w:bidi w:val="0"/>
        <w:jc w:val="left"/>
        <w:rPr>
          <w:b/>
        </w:rPr>
      </w:pPr>
      <w:r>
        <w:rPr>
          <w:b/>
        </w:rPr>
        <w:t>Integration Requirements, Open Questions and Running Costs</w:t>
      </w:r>
    </w:p>
    <w:tbl>
      <w:tblPr>
        <w:tblW w:w="9638" w:type="dxa"/>
        <w:jc w:val="left"/>
        <w:tblInd w:w="0" w:type="dxa"/>
        <w:tblLayout w:type="fixed"/>
        <w:tblCellMar>
          <w:top w:w="28" w:type="dxa"/>
          <w:left w:w="28" w:type="dxa"/>
          <w:bottom w:w="28" w:type="dxa"/>
          <w:right w:w="28" w:type="dxa"/>
        </w:tblCellMar>
      </w:tblPr>
      <w:tblGrid>
        <w:gridCol w:w="2200"/>
        <w:gridCol w:w="7438"/>
      </w:tblGrid>
      <w:tr>
        <w:trPr/>
        <w:tc>
          <w:tcPr>
            <w:tcW w:w="2200" w:type="dxa"/>
            <w:tcBorders/>
            <w:vAlign w:val="center"/>
          </w:tcPr>
          <w:p>
            <w:pPr>
              <w:pStyle w:val="TableContents"/>
              <w:bidi w:val="0"/>
              <w:spacing w:before="40" w:after="40"/>
              <w:jc w:val="left"/>
              <w:rPr/>
            </w:pPr>
            <w:r>
              <w:rPr/>
              <w:t>Prepared for</w:t>
            </w:r>
          </w:p>
        </w:tc>
        <w:tc>
          <w:tcPr>
            <w:tcW w:w="7438" w:type="dxa"/>
            <w:tcBorders/>
            <w:vAlign w:val="center"/>
          </w:tcPr>
          <w:p>
            <w:pPr>
              <w:pStyle w:val="TableContents"/>
              <w:bidi w:val="0"/>
              <w:spacing w:before="40" w:after="40"/>
              <w:jc w:val="left"/>
              <w:rPr/>
            </w:pPr>
            <w:r>
              <w:rPr/>
              <w:t>AXA Middle East — attn. Mr Ramy HADDAD</w:t>
            </w:r>
          </w:p>
        </w:tc>
      </w:tr>
      <w:tr>
        <w:trPr/>
        <w:tc>
          <w:tcPr>
            <w:tcW w:w="2200" w:type="dxa"/>
            <w:tcBorders/>
            <w:vAlign w:val="center"/>
          </w:tcPr>
          <w:p>
            <w:pPr>
              <w:pStyle w:val="TableContents"/>
              <w:bidi w:val="0"/>
              <w:spacing w:before="40" w:after="40"/>
              <w:jc w:val="left"/>
              <w:rPr/>
            </w:pPr>
            <w:r>
              <w:rPr/>
              <w:t>Prepared by</w:t>
            </w:r>
          </w:p>
        </w:tc>
        <w:tc>
          <w:tcPr>
            <w:tcW w:w="7438" w:type="dxa"/>
            <w:tcBorders/>
            <w:vAlign w:val="center"/>
          </w:tcPr>
          <w:p>
            <w:pPr>
              <w:pStyle w:val="TableContents"/>
              <w:bidi w:val="0"/>
              <w:spacing w:before="40" w:after="40"/>
              <w:jc w:val="left"/>
              <w:rPr/>
            </w:pPr>
            <w:r>
              <w:rPr/>
              <w:t>Ali Sleiman, Software Developer</w:t>
            </w:r>
          </w:p>
        </w:tc>
      </w:tr>
      <w:tr>
        <w:trPr/>
        <w:tc>
          <w:tcPr>
            <w:tcW w:w="2200" w:type="dxa"/>
            <w:tcBorders/>
            <w:vAlign w:val="center"/>
          </w:tcPr>
          <w:p>
            <w:pPr>
              <w:pStyle w:val="TableContents"/>
              <w:bidi w:val="0"/>
              <w:spacing w:before="40" w:after="40"/>
              <w:jc w:val="left"/>
              <w:rPr/>
            </w:pPr>
            <w:r>
              <w:rPr/>
              <w:t>Date</w:t>
            </w:r>
          </w:p>
        </w:tc>
        <w:tc>
          <w:tcPr>
            <w:tcW w:w="7438" w:type="dxa"/>
            <w:tcBorders/>
            <w:vAlign w:val="center"/>
          </w:tcPr>
          <w:p>
            <w:pPr>
              <w:pStyle w:val="TableContents"/>
              <w:bidi w:val="0"/>
              <w:spacing w:before="40" w:after="40"/>
              <w:jc w:val="left"/>
              <w:rPr/>
            </w:pPr>
            <w:r>
              <w:rPr/>
              <w:t>18 August 2026</w:t>
            </w:r>
          </w:p>
        </w:tc>
      </w:tr>
      <w:tr>
        <w:trPr/>
        <w:tc>
          <w:tcPr>
            <w:tcW w:w="2200" w:type="dxa"/>
            <w:tcBorders/>
            <w:vAlign w:val="center"/>
          </w:tcPr>
          <w:p>
            <w:pPr>
              <w:pStyle w:val="TableContents"/>
              <w:bidi w:val="0"/>
              <w:spacing w:before="40" w:after="40"/>
              <w:jc w:val="left"/>
              <w:rPr/>
            </w:pPr>
            <w:r>
              <w:rPr/>
              <w:t>Version</w:t>
            </w:r>
          </w:p>
        </w:tc>
        <w:tc>
          <w:tcPr>
            <w:tcW w:w="7438" w:type="dxa"/>
            <w:tcBorders/>
            <w:vAlign w:val="center"/>
          </w:tcPr>
          <w:p>
            <w:pPr>
              <w:pStyle w:val="TableContents"/>
              <w:bidi w:val="0"/>
              <w:spacing w:before="40" w:after="40"/>
              <w:jc w:val="left"/>
              <w:rPr/>
            </w:pPr>
            <w:r>
              <w:rPr/>
              <w:t>0.1 — First draft for client review</w:t>
            </w:r>
          </w:p>
        </w:tc>
      </w:tr>
      <w:tr>
        <w:trPr/>
        <w:tc>
          <w:tcPr>
            <w:tcW w:w="2200" w:type="dxa"/>
            <w:tcBorders/>
            <w:vAlign w:val="center"/>
          </w:tcPr>
          <w:p>
            <w:pPr>
              <w:pStyle w:val="TableContents"/>
              <w:bidi w:val="0"/>
              <w:spacing w:before="40" w:after="40"/>
              <w:jc w:val="left"/>
              <w:rPr/>
            </w:pPr>
            <w:r>
              <w:rPr/>
              <w:t>Source document</w:t>
            </w:r>
          </w:p>
        </w:tc>
        <w:tc>
          <w:tcPr>
            <w:tcW w:w="7438" w:type="dxa"/>
            <w:tcBorders/>
            <w:vAlign w:val="center"/>
          </w:tcPr>
          <w:p>
            <w:pPr>
              <w:pStyle w:val="TableContents"/>
              <w:bidi w:val="0"/>
              <w:spacing w:before="40" w:after="40"/>
              <w:jc w:val="left"/>
              <w:rPr/>
            </w:pPr>
            <w:r>
              <w:rPr/>
              <w:t>BRD “Claims experts and survey”, created 5 August 2026</w:t>
            </w:r>
          </w:p>
        </w:tc>
      </w:tr>
      <w:tr>
        <w:trPr/>
        <w:tc>
          <w:tcPr>
            <w:tcW w:w="2200" w:type="dxa"/>
            <w:tcBorders/>
            <w:vAlign w:val="center"/>
          </w:tcPr>
          <w:p>
            <w:pPr>
              <w:pStyle w:val="TableContents"/>
              <w:bidi w:val="0"/>
              <w:spacing w:before="40" w:after="40"/>
              <w:jc w:val="left"/>
              <w:rPr/>
            </w:pPr>
            <w:r>
              <w:rPr/>
              <w:t>Response requested</w:t>
            </w:r>
          </w:p>
        </w:tc>
        <w:tc>
          <w:tcPr>
            <w:tcW w:w="7438" w:type="dxa"/>
            <w:tcBorders/>
            <w:vAlign w:val="center"/>
          </w:tcPr>
          <w:p>
            <w:pPr>
              <w:pStyle w:val="TableContents"/>
              <w:bidi w:val="0"/>
              <w:spacing w:before="40" w:after="40"/>
              <w:jc w:val="left"/>
              <w:rPr/>
            </w:pPr>
            <w:r>
              <w:rPr/>
              <w:t xml:space="preserve">Sections 3.2, 5 and 6 by </w:t>
            </w:r>
            <w:r>
              <w:rPr>
                <w:b/>
              </w:rPr>
              <w:t>25 August 2026</w:t>
            </w:r>
          </w:p>
        </w:tc>
      </w:tr>
    </w:tbl>
    <w:p>
      <w:pPr>
        <w:pStyle w:val="Heading2"/>
        <w:bidi w:val="0"/>
        <w:jc w:val="left"/>
        <w:rPr/>
      </w:pPr>
      <w:r>
        <w:rPr/>
        <w:t>1. Purpose of this document</w:t>
      </w:r>
    </w:p>
    <w:p>
      <w:pPr>
        <w:pStyle w:val="BodyText"/>
        <w:bidi w:val="0"/>
        <w:jc w:val="left"/>
        <w:rPr/>
      </w:pPr>
      <w:r>
        <w:rPr/>
        <w:t>The Business Requirements Document has been analysed in full and the technical architecture for the application is decided. Development can begin immediately.</w:t>
      </w:r>
    </w:p>
    <w:p>
      <w:pPr>
        <w:pStyle w:val="BodyText"/>
        <w:bidi w:val="0"/>
        <w:jc w:val="left"/>
        <w:rPr/>
      </w:pPr>
      <w:r>
        <w:rPr/>
        <w:t xml:space="preserve">This document sets out the three things that are outside my control and therefore determine the delivery date: </w:t>
      </w:r>
      <w:r>
        <w:rPr>
          <w:b/>
        </w:rPr>
        <w:t>access to NEXT3</w:t>
      </w:r>
      <w:r>
        <w:rPr/>
        <w:t xml:space="preserve">, the </w:t>
      </w:r>
      <w:r>
        <w:rPr>
          <w:b/>
        </w:rPr>
        <w:t>infrastructure and messaging accounts</w:t>
      </w:r>
      <w:r>
        <w:rPr/>
        <w:t xml:space="preserve">, and </w:t>
      </w:r>
      <w:r>
        <w:rPr>
          <w:b/>
        </w:rPr>
        <w:t>AXA’s internal security review</w:t>
      </w:r>
      <w:r>
        <w:rPr/>
        <w:t>. It lists every open question arising from the BRD, marks which of them block progress, and states the expected running cost of the application once live.</w:t>
      </w:r>
    </w:p>
    <w:p>
      <w:pPr>
        <w:pStyle w:val="BodyText"/>
        <w:bidi w:val="0"/>
        <w:jc w:val="left"/>
        <w:rPr/>
      </w:pPr>
      <w:r>
        <w:rPr/>
        <w:t>Nothing here is a change to what was agreed. It is the information I need from AXA in order to hold the agreed timeline.</w:t>
      </w:r>
    </w:p>
    <w:p>
      <w:pPr>
        <w:pStyle w:val="Heading2"/>
        <w:bidi w:val="0"/>
        <w:jc w:val="left"/>
        <w:rPr/>
      </w:pPr>
      <w:r>
        <w:rPr/>
        <w:t>2. What is required from AXA, at a glance</w:t>
      </w:r>
    </w:p>
    <w:tbl>
      <w:tblPr>
        <w:tblW w:w="9638" w:type="dxa"/>
        <w:jc w:val="left"/>
        <w:tblInd w:w="0" w:type="dxa"/>
        <w:tblLayout w:type="fixed"/>
        <w:tblCellMar>
          <w:top w:w="28" w:type="dxa"/>
          <w:left w:w="28" w:type="dxa"/>
          <w:bottom w:w="28" w:type="dxa"/>
          <w:right w:w="28" w:type="dxa"/>
        </w:tblCellMar>
      </w:tblPr>
      <w:tblGrid>
        <w:gridCol w:w="500"/>
        <w:gridCol w:w="5338"/>
        <w:gridCol w:w="1700"/>
        <w:gridCol w:w="2100"/>
      </w:tblGrid>
      <w:tr>
        <w:trPr/>
        <w:tc>
          <w:tcPr>
            <w:tcW w:w="500" w:type="dxa"/>
            <w:tcBorders/>
            <w:vAlign w:val="center"/>
          </w:tcPr>
          <w:p>
            <w:pPr>
              <w:pStyle w:val="TableHeading"/>
              <w:suppressLineNumbers/>
              <w:shd w:fill="1F3864" w:val="clear"/>
              <w:bidi w:val="0"/>
              <w:spacing w:before="40" w:after="40"/>
              <w:jc w:val="left"/>
              <w:rPr/>
            </w:pPr>
            <w:r>
              <w:rPr/>
              <w:t>#</w:t>
            </w:r>
          </w:p>
        </w:tc>
        <w:tc>
          <w:tcPr>
            <w:tcW w:w="5338" w:type="dxa"/>
            <w:tcBorders/>
            <w:vAlign w:val="center"/>
          </w:tcPr>
          <w:p>
            <w:pPr>
              <w:pStyle w:val="TableHeading"/>
              <w:suppressLineNumbers/>
              <w:shd w:fill="1F3864" w:val="clear"/>
              <w:bidi w:val="0"/>
              <w:spacing w:before="40" w:after="40"/>
              <w:jc w:val="left"/>
              <w:rPr/>
            </w:pPr>
            <w:r>
              <w:rPr/>
              <w:t>Item</w:t>
            </w:r>
          </w:p>
        </w:tc>
        <w:tc>
          <w:tcPr>
            <w:tcW w:w="1700" w:type="dxa"/>
            <w:tcBorders/>
            <w:vAlign w:val="center"/>
          </w:tcPr>
          <w:p>
            <w:pPr>
              <w:pStyle w:val="TableHeading"/>
              <w:suppressLineNumbers/>
              <w:shd w:fill="1F3864" w:val="clear"/>
              <w:bidi w:val="0"/>
              <w:spacing w:before="40" w:after="40"/>
              <w:jc w:val="left"/>
              <w:rPr/>
            </w:pPr>
            <w:r>
              <w:rPr/>
              <w:t>Required by</w:t>
            </w:r>
          </w:p>
        </w:tc>
        <w:tc>
          <w:tcPr>
            <w:tcW w:w="2100" w:type="dxa"/>
            <w:tcBorders/>
            <w:vAlign w:val="center"/>
          </w:tcPr>
          <w:p>
            <w:pPr>
              <w:pStyle w:val="TableHeading"/>
              <w:suppressLineNumbers/>
              <w:shd w:fill="1F3864" w:val="clear"/>
              <w:bidi w:val="0"/>
              <w:spacing w:before="40" w:after="40"/>
              <w:jc w:val="left"/>
              <w:rPr/>
            </w:pPr>
            <w:r>
              <w:rPr/>
              <w:t>Owner at AXA</w:t>
            </w:r>
          </w:p>
        </w:tc>
      </w:tr>
      <w:tr>
        <w:trPr/>
        <w:tc>
          <w:tcPr>
            <w:tcW w:w="500" w:type="dxa"/>
            <w:tcBorders/>
            <w:vAlign w:val="center"/>
          </w:tcPr>
          <w:p>
            <w:pPr>
              <w:pStyle w:val="TableContents"/>
              <w:bidi w:val="0"/>
              <w:spacing w:before="40" w:after="40"/>
              <w:jc w:val="left"/>
              <w:rPr/>
            </w:pPr>
            <w:r>
              <w:rPr/>
              <w:t>A</w:t>
            </w:r>
          </w:p>
        </w:tc>
        <w:tc>
          <w:tcPr>
            <w:tcW w:w="5338" w:type="dxa"/>
            <w:tcBorders/>
            <w:vAlign w:val="center"/>
          </w:tcPr>
          <w:p>
            <w:pPr>
              <w:pStyle w:val="TableContents"/>
              <w:bidi w:val="0"/>
              <w:spacing w:before="40" w:after="40"/>
              <w:jc w:val="left"/>
              <w:rPr/>
            </w:pPr>
            <w:r>
              <w:rPr/>
              <w:t>Named owner for the NEXT3 integration, and confirmation of who will build the NEXT3-side endpoints</w:t>
            </w:r>
          </w:p>
        </w:tc>
        <w:tc>
          <w:tcPr>
            <w:tcW w:w="1700" w:type="dxa"/>
            <w:tcBorders/>
            <w:vAlign w:val="center"/>
          </w:tcPr>
          <w:p>
            <w:pPr>
              <w:pStyle w:val="TableContents"/>
              <w:bidi w:val="0"/>
              <w:spacing w:before="40" w:after="40"/>
              <w:jc w:val="left"/>
              <w:rPr/>
            </w:pPr>
            <w:r>
              <w:rPr/>
              <w:t>Immediately</w:t>
            </w:r>
          </w:p>
        </w:tc>
        <w:tc>
          <w:tcPr>
            <w:tcW w:w="2100" w:type="dxa"/>
            <w:tcBorders/>
            <w:vAlign w:val="center"/>
          </w:tcPr>
          <w:p>
            <w:pPr>
              <w:pStyle w:val="TableContents"/>
              <w:bidi w:val="0"/>
              <w:spacing w:before="40" w:after="40"/>
              <w:jc w:val="left"/>
              <w:rPr/>
            </w:pPr>
            <w:r>
              <w:rPr/>
              <w:t>IT / NEXT3 vendor</w:t>
            </w:r>
          </w:p>
        </w:tc>
      </w:tr>
      <w:tr>
        <w:trPr/>
        <w:tc>
          <w:tcPr>
            <w:tcW w:w="500" w:type="dxa"/>
            <w:tcBorders/>
            <w:vAlign w:val="center"/>
          </w:tcPr>
          <w:p>
            <w:pPr>
              <w:pStyle w:val="TableContents"/>
              <w:bidi w:val="0"/>
              <w:spacing w:before="40" w:after="40"/>
              <w:jc w:val="left"/>
              <w:rPr/>
            </w:pPr>
            <w:r>
              <w:rPr/>
              <w:t>B</w:t>
            </w:r>
          </w:p>
        </w:tc>
        <w:tc>
          <w:tcPr>
            <w:tcW w:w="5338" w:type="dxa"/>
            <w:tcBorders/>
            <w:vAlign w:val="center"/>
          </w:tcPr>
          <w:p>
            <w:pPr>
              <w:pStyle w:val="TableContents"/>
              <w:bidi w:val="0"/>
              <w:spacing w:before="40" w:after="40"/>
              <w:jc w:val="left"/>
              <w:rPr/>
            </w:pPr>
            <w:r>
              <w:rPr/>
              <w:t>NEXT3 sandbox environment: URL, credentials, authentication method, test data</w:t>
            </w:r>
          </w:p>
        </w:tc>
        <w:tc>
          <w:tcPr>
            <w:tcW w:w="1700" w:type="dxa"/>
            <w:tcBorders/>
            <w:vAlign w:val="center"/>
          </w:tcPr>
          <w:p>
            <w:pPr>
              <w:pStyle w:val="TableContents"/>
              <w:bidi w:val="0"/>
              <w:spacing w:before="40" w:after="40"/>
              <w:jc w:val="left"/>
              <w:rPr/>
            </w:pPr>
            <w:r>
              <w:rPr/>
              <w:t>Start of week 3</w:t>
            </w:r>
          </w:p>
        </w:tc>
        <w:tc>
          <w:tcPr>
            <w:tcW w:w="2100" w:type="dxa"/>
            <w:tcBorders/>
            <w:vAlign w:val="center"/>
          </w:tcPr>
          <w:p>
            <w:pPr>
              <w:pStyle w:val="TableContents"/>
              <w:bidi w:val="0"/>
              <w:spacing w:before="40" w:after="40"/>
              <w:jc w:val="left"/>
              <w:rPr/>
            </w:pPr>
            <w:r>
              <w:rPr/>
              <w:t>IT / NEXT3 vendor</w:t>
            </w:r>
          </w:p>
        </w:tc>
      </w:tr>
      <w:tr>
        <w:trPr/>
        <w:tc>
          <w:tcPr>
            <w:tcW w:w="500" w:type="dxa"/>
            <w:tcBorders/>
            <w:vAlign w:val="center"/>
          </w:tcPr>
          <w:p>
            <w:pPr>
              <w:pStyle w:val="TableContents"/>
              <w:bidi w:val="0"/>
              <w:spacing w:before="40" w:after="40"/>
              <w:jc w:val="left"/>
              <w:rPr/>
            </w:pPr>
            <w:r>
              <w:rPr/>
              <w:t>C</w:t>
            </w:r>
          </w:p>
        </w:tc>
        <w:tc>
          <w:tcPr>
            <w:tcW w:w="5338" w:type="dxa"/>
            <w:tcBorders/>
            <w:vAlign w:val="center"/>
          </w:tcPr>
          <w:p>
            <w:pPr>
              <w:pStyle w:val="TableContents"/>
              <w:bidi w:val="0"/>
              <w:spacing w:before="40" w:after="40"/>
              <w:jc w:val="left"/>
              <w:rPr/>
            </w:pPr>
            <w:r>
              <w:rPr/>
              <w:t>Decision on network connectivity to NEXT3 (see 3.3)</w:t>
            </w:r>
          </w:p>
        </w:tc>
        <w:tc>
          <w:tcPr>
            <w:tcW w:w="1700" w:type="dxa"/>
            <w:tcBorders/>
            <w:vAlign w:val="center"/>
          </w:tcPr>
          <w:p>
            <w:pPr>
              <w:pStyle w:val="TableContents"/>
              <w:bidi w:val="0"/>
              <w:spacing w:before="40" w:after="40"/>
              <w:jc w:val="left"/>
              <w:rPr/>
            </w:pPr>
            <w:r>
              <w:rPr/>
              <w:t>Start of week 3</w:t>
            </w:r>
          </w:p>
        </w:tc>
        <w:tc>
          <w:tcPr>
            <w:tcW w:w="2100" w:type="dxa"/>
            <w:tcBorders/>
            <w:vAlign w:val="center"/>
          </w:tcPr>
          <w:p>
            <w:pPr>
              <w:pStyle w:val="TableContents"/>
              <w:bidi w:val="0"/>
              <w:spacing w:before="40" w:after="40"/>
              <w:jc w:val="left"/>
              <w:rPr/>
            </w:pPr>
            <w:r>
              <w:rPr/>
              <w:t>Infrastructure / Security</w:t>
            </w:r>
          </w:p>
        </w:tc>
      </w:tr>
      <w:tr>
        <w:trPr/>
        <w:tc>
          <w:tcPr>
            <w:tcW w:w="500" w:type="dxa"/>
            <w:tcBorders/>
            <w:vAlign w:val="center"/>
          </w:tcPr>
          <w:p>
            <w:pPr>
              <w:pStyle w:val="TableContents"/>
              <w:bidi w:val="0"/>
              <w:spacing w:before="40" w:after="40"/>
              <w:jc w:val="left"/>
              <w:rPr/>
            </w:pPr>
            <w:r>
              <w:rPr/>
              <w:t>D</w:t>
            </w:r>
          </w:p>
        </w:tc>
        <w:tc>
          <w:tcPr>
            <w:tcW w:w="5338" w:type="dxa"/>
            <w:tcBorders/>
            <w:vAlign w:val="center"/>
          </w:tcPr>
          <w:p>
            <w:pPr>
              <w:pStyle w:val="TableContents"/>
              <w:bidi w:val="0"/>
              <w:spacing w:before="40" w:after="40"/>
              <w:jc w:val="left"/>
              <w:rPr/>
            </w:pPr>
            <w:r>
              <w:rPr/>
              <w:t>Choice of SMS provider for login codes, and an account in AXA’s name</w:t>
            </w:r>
          </w:p>
        </w:tc>
        <w:tc>
          <w:tcPr>
            <w:tcW w:w="1700" w:type="dxa"/>
            <w:tcBorders/>
            <w:vAlign w:val="center"/>
          </w:tcPr>
          <w:p>
            <w:pPr>
              <w:pStyle w:val="TableContents"/>
              <w:bidi w:val="0"/>
              <w:spacing w:before="40" w:after="40"/>
              <w:jc w:val="left"/>
              <w:rPr/>
            </w:pPr>
            <w:r>
              <w:rPr/>
              <w:t>Week 1</w:t>
            </w:r>
          </w:p>
        </w:tc>
        <w:tc>
          <w:tcPr>
            <w:tcW w:w="2100" w:type="dxa"/>
            <w:tcBorders/>
            <w:vAlign w:val="center"/>
          </w:tcPr>
          <w:p>
            <w:pPr>
              <w:pStyle w:val="TableContents"/>
              <w:bidi w:val="0"/>
              <w:spacing w:before="40" w:after="40"/>
              <w:jc w:val="left"/>
              <w:rPr/>
            </w:pPr>
            <w:r>
              <w:rPr/>
              <w:t>Procurement / IT</w:t>
            </w:r>
          </w:p>
        </w:tc>
      </w:tr>
      <w:tr>
        <w:trPr/>
        <w:tc>
          <w:tcPr>
            <w:tcW w:w="500" w:type="dxa"/>
            <w:tcBorders/>
            <w:vAlign w:val="center"/>
          </w:tcPr>
          <w:p>
            <w:pPr>
              <w:pStyle w:val="TableContents"/>
              <w:bidi w:val="0"/>
              <w:spacing w:before="40" w:after="40"/>
              <w:jc w:val="left"/>
              <w:rPr/>
            </w:pPr>
            <w:r>
              <w:rPr/>
              <w:t>E</w:t>
            </w:r>
          </w:p>
        </w:tc>
        <w:tc>
          <w:tcPr>
            <w:tcW w:w="5338" w:type="dxa"/>
            <w:tcBorders/>
            <w:vAlign w:val="center"/>
          </w:tcPr>
          <w:p>
            <w:pPr>
              <w:pStyle w:val="TableContents"/>
              <w:bidi w:val="0"/>
              <w:spacing w:before="40" w:after="40"/>
              <w:jc w:val="left"/>
              <w:rPr/>
            </w:pPr>
            <w:r>
              <w:rPr/>
              <w:t>Azure subscription access (Contributor rights on one resource group)</w:t>
            </w:r>
          </w:p>
        </w:tc>
        <w:tc>
          <w:tcPr>
            <w:tcW w:w="1700" w:type="dxa"/>
            <w:tcBorders/>
            <w:vAlign w:val="center"/>
          </w:tcPr>
          <w:p>
            <w:pPr>
              <w:pStyle w:val="TableContents"/>
              <w:bidi w:val="0"/>
              <w:spacing w:before="40" w:after="40"/>
              <w:jc w:val="left"/>
              <w:rPr/>
            </w:pPr>
            <w:r>
              <w:rPr/>
              <w:t>Week 1</w:t>
            </w:r>
          </w:p>
        </w:tc>
        <w:tc>
          <w:tcPr>
            <w:tcW w:w="2100" w:type="dxa"/>
            <w:tcBorders/>
            <w:vAlign w:val="center"/>
          </w:tcPr>
          <w:p>
            <w:pPr>
              <w:pStyle w:val="TableContents"/>
              <w:bidi w:val="0"/>
              <w:spacing w:before="40" w:after="40"/>
              <w:jc w:val="left"/>
              <w:rPr/>
            </w:pPr>
            <w:r>
              <w:rPr/>
              <w:t>Cloud / IT</w:t>
            </w:r>
          </w:p>
        </w:tc>
      </w:tr>
      <w:tr>
        <w:trPr/>
        <w:tc>
          <w:tcPr>
            <w:tcW w:w="500" w:type="dxa"/>
            <w:tcBorders/>
            <w:vAlign w:val="center"/>
          </w:tcPr>
          <w:p>
            <w:pPr>
              <w:pStyle w:val="TableContents"/>
              <w:bidi w:val="0"/>
              <w:spacing w:before="40" w:after="40"/>
              <w:jc w:val="left"/>
              <w:rPr/>
            </w:pPr>
            <w:r>
              <w:rPr/>
              <w:t>F</w:t>
            </w:r>
          </w:p>
        </w:tc>
        <w:tc>
          <w:tcPr>
            <w:tcW w:w="5338" w:type="dxa"/>
            <w:tcBorders/>
            <w:vAlign w:val="center"/>
          </w:tcPr>
          <w:p>
            <w:pPr>
              <w:pStyle w:val="TableContents"/>
              <w:bidi w:val="0"/>
              <w:spacing w:before="40" w:after="40"/>
              <w:jc w:val="left"/>
              <w:rPr/>
            </w:pPr>
            <w:r>
              <w:rPr/>
              <w:t>Confirmation of whether AXA Group InfoSec review or a penetration test applies</w:t>
            </w:r>
          </w:p>
        </w:tc>
        <w:tc>
          <w:tcPr>
            <w:tcW w:w="1700" w:type="dxa"/>
            <w:tcBorders/>
            <w:vAlign w:val="center"/>
          </w:tcPr>
          <w:p>
            <w:pPr>
              <w:pStyle w:val="TableContents"/>
              <w:bidi w:val="0"/>
              <w:spacing w:before="40" w:after="40"/>
              <w:jc w:val="left"/>
              <w:rPr/>
            </w:pPr>
            <w:r>
              <w:rPr/>
              <w:t>Immediately</w:t>
            </w:r>
          </w:p>
        </w:tc>
        <w:tc>
          <w:tcPr>
            <w:tcW w:w="2100" w:type="dxa"/>
            <w:tcBorders/>
            <w:vAlign w:val="center"/>
          </w:tcPr>
          <w:p>
            <w:pPr>
              <w:pStyle w:val="TableContents"/>
              <w:bidi w:val="0"/>
              <w:spacing w:before="40" w:after="40"/>
              <w:jc w:val="left"/>
              <w:rPr/>
            </w:pPr>
            <w:r>
              <w:rPr/>
              <w:t>Security / Compliance</w:t>
            </w:r>
          </w:p>
        </w:tc>
      </w:tr>
      <w:tr>
        <w:trPr/>
        <w:tc>
          <w:tcPr>
            <w:tcW w:w="500" w:type="dxa"/>
            <w:tcBorders/>
            <w:vAlign w:val="center"/>
          </w:tcPr>
          <w:p>
            <w:pPr>
              <w:pStyle w:val="TableContents"/>
              <w:bidi w:val="0"/>
              <w:spacing w:before="40" w:after="40"/>
              <w:jc w:val="left"/>
              <w:rPr/>
            </w:pPr>
            <w:r>
              <w:rPr/>
              <w:t>G</w:t>
            </w:r>
          </w:p>
        </w:tc>
        <w:tc>
          <w:tcPr>
            <w:tcW w:w="5338" w:type="dxa"/>
            <w:tcBorders/>
            <w:vAlign w:val="center"/>
          </w:tcPr>
          <w:p>
            <w:pPr>
              <w:pStyle w:val="TableContents"/>
              <w:bidi w:val="0"/>
              <w:spacing w:before="40" w:after="40"/>
              <w:jc w:val="left"/>
              <w:rPr/>
            </w:pPr>
            <w:r>
              <w:rPr/>
              <w:t>The expert master list extract from NEXT3 (ID, name, mobile number)</w:t>
            </w:r>
          </w:p>
        </w:tc>
        <w:tc>
          <w:tcPr>
            <w:tcW w:w="1700" w:type="dxa"/>
            <w:tcBorders/>
            <w:vAlign w:val="center"/>
          </w:tcPr>
          <w:p>
            <w:pPr>
              <w:pStyle w:val="TableContents"/>
              <w:bidi w:val="0"/>
              <w:spacing w:before="40" w:after="40"/>
              <w:jc w:val="left"/>
              <w:rPr/>
            </w:pPr>
            <w:r>
              <w:rPr/>
              <w:t>Week 2</w:t>
            </w:r>
          </w:p>
        </w:tc>
        <w:tc>
          <w:tcPr>
            <w:tcW w:w="2100" w:type="dxa"/>
            <w:tcBorders/>
            <w:vAlign w:val="center"/>
          </w:tcPr>
          <w:p>
            <w:pPr>
              <w:pStyle w:val="TableContents"/>
              <w:bidi w:val="0"/>
              <w:spacing w:before="40" w:after="40"/>
              <w:jc w:val="left"/>
              <w:rPr/>
            </w:pPr>
            <w:r>
              <w:rPr/>
              <w:t>IT</w:t>
            </w:r>
          </w:p>
        </w:tc>
      </w:tr>
      <w:tr>
        <w:trPr/>
        <w:tc>
          <w:tcPr>
            <w:tcW w:w="500" w:type="dxa"/>
            <w:tcBorders/>
            <w:vAlign w:val="center"/>
          </w:tcPr>
          <w:p>
            <w:pPr>
              <w:pStyle w:val="TableContents"/>
              <w:bidi w:val="0"/>
              <w:spacing w:before="40" w:after="40"/>
              <w:jc w:val="left"/>
              <w:rPr/>
            </w:pPr>
            <w:r>
              <w:rPr/>
              <w:t>H</w:t>
            </w:r>
          </w:p>
        </w:tc>
        <w:tc>
          <w:tcPr>
            <w:tcW w:w="5338" w:type="dxa"/>
            <w:tcBorders/>
            <w:vAlign w:val="center"/>
          </w:tcPr>
          <w:p>
            <w:pPr>
              <w:pStyle w:val="TableContents"/>
              <w:bidi w:val="0"/>
              <w:spacing w:before="40" w:after="40"/>
              <w:jc w:val="left"/>
              <w:rPr/>
            </w:pPr>
            <w:r>
              <w:rPr/>
              <w:t>Answers to the questions in sections 3.2, 4 and 6</w:t>
            </w:r>
          </w:p>
        </w:tc>
        <w:tc>
          <w:tcPr>
            <w:tcW w:w="1700" w:type="dxa"/>
            <w:tcBorders/>
            <w:vAlign w:val="center"/>
          </w:tcPr>
          <w:p>
            <w:pPr>
              <w:pStyle w:val="TableContents"/>
              <w:bidi w:val="0"/>
              <w:spacing w:before="40" w:after="40"/>
              <w:jc w:val="left"/>
              <w:rPr/>
            </w:pPr>
            <w:r>
              <w:rPr/>
              <w:t>25 August 2026</w:t>
            </w:r>
          </w:p>
        </w:tc>
        <w:tc>
          <w:tcPr>
            <w:tcW w:w="2100" w:type="dxa"/>
            <w:tcBorders/>
            <w:vAlign w:val="center"/>
          </w:tcPr>
          <w:p>
            <w:pPr>
              <w:pStyle w:val="TableContents"/>
              <w:bidi w:val="0"/>
              <w:spacing w:before="40" w:after="40"/>
              <w:jc w:val="left"/>
              <w:rPr/>
            </w:pPr>
            <w:r>
              <w:rPr/>
              <w:t>Business / IT</w:t>
            </w:r>
          </w:p>
        </w:tc>
      </w:tr>
    </w:tbl>
    <w:p>
      <w:pPr>
        <w:pStyle w:val="Heading2"/>
        <w:bidi w:val="0"/>
        <w:jc w:val="left"/>
        <w:rPr/>
      </w:pPr>
      <w:r>
        <w:rPr/>
        <w:t>3. NEXT3 integration</w:t>
      </w:r>
    </w:p>
    <w:p>
      <w:pPr>
        <w:pStyle w:val="Heading3"/>
        <w:bidi w:val="0"/>
        <w:jc w:val="left"/>
        <w:rPr/>
      </w:pPr>
      <w:r>
        <w:rPr/>
        <w:t>3.1 Why this is the critical path</w:t>
      </w:r>
    </w:p>
    <w:p>
      <w:pPr>
        <w:pStyle w:val="BodyText"/>
        <w:bidi w:val="0"/>
        <w:jc w:val="left"/>
        <w:rPr/>
      </w:pPr>
      <w:r>
        <w:rPr/>
        <w:t>The purpose of the application is to place claim photographs into NEXT3 against the correct visa number, replacing the current email route. Every module in the BRD — Expert, Garage, Claim Officer and Broker — ends in a write to NEXT3. NEXT3 access therefore governs the delivery date more than any other single factor.</w:t>
      </w:r>
    </w:p>
    <w:p>
      <w:pPr>
        <w:pStyle w:val="BodyText"/>
        <w:bidi w:val="0"/>
        <w:jc w:val="left"/>
        <w:rPr/>
      </w:pPr>
      <w:r>
        <w:rPr/>
        <w:t xml:space="preserve">The application is being built so that this dependency is managed rather than simply waited on. The NEXT3 connection sits behind an internal interface with a working simulator, which allows all four modules to be built and demonstrated before the real endpoints exist. That protection covers </w:t>
      </w:r>
      <w:r>
        <w:rPr>
          <w:b/>
        </w:rPr>
        <w:t>approximately the first three weeks</w:t>
      </w:r>
      <w:r>
        <w:rPr/>
        <w:t xml:space="preserve"> of development.</w:t>
      </w:r>
    </w:p>
    <w:p>
      <w:pPr>
        <w:pStyle w:val="BodyText"/>
        <w:bidi w:val="0"/>
        <w:spacing w:before="240" w:after="240"/>
        <w:ind w:hanging="0" w:left="240" w:right="240"/>
        <w:jc w:val="left"/>
        <w:rPr>
          <w:bdr w:val="single" w:sz="2" w:space="8" w:color="FFD966"/>
          <w:shd w:fill="FFF2CC" w:val="clear"/>
        </w:rPr>
      </w:pPr>
      <w:r>
        <w:rPr>
          <w:b/>
          <w:bdr w:val="single" w:sz="2" w:space="8" w:color="FFD966"/>
          <w:shd w:fill="FFF2CC" w:val="clear"/>
        </w:rPr>
        <w:t>Schedule statement.</w:t>
      </w:r>
      <w:r>
        <w:rPr>
          <w:bdr w:val="single" w:sz="2" w:space="8" w:color="FFD966"/>
          <w:shd w:fill="FFF2CC" w:val="clear"/>
        </w:rPr>
        <w:t xml:space="preserve"> Beyond the start of week 3, development cannot proceed against a simulator. For every working day that NEXT3 sandbox access is delayed past that point, the delivery date moves by the same day. This is stated now, in writing, so that it is a shared and visible risk rather than a surprise later in the project.</w:t>
      </w:r>
    </w:p>
    <w:p>
      <w:pPr>
        <w:pStyle w:val="Heading3"/>
        <w:bidi w:val="0"/>
        <w:ind w:hanging="0"/>
        <w:jc w:val="left"/>
        <w:rPr/>
      </w:pPr>
      <w:r>
        <w:rPr/>
        <w:t>3.2 Blocking questions</w:t>
      </w:r>
    </w:p>
    <w:p>
      <w:pPr>
        <w:pStyle w:val="BodyText"/>
        <w:bidi w:val="0"/>
        <w:jc w:val="left"/>
        <w:rPr/>
      </w:pPr>
      <w:r>
        <w:rPr/>
        <w:t>These four determine the sequence of the entire build. They are the questions I would ask first if I could ask only four.</w:t>
      </w:r>
    </w:p>
    <w:tbl>
      <w:tblPr>
        <w:tblW w:w="9638" w:type="dxa"/>
        <w:jc w:val="left"/>
        <w:tblInd w:w="0" w:type="dxa"/>
        <w:tblLayout w:type="fixed"/>
        <w:tblCellMar>
          <w:top w:w="28" w:type="dxa"/>
          <w:left w:w="28" w:type="dxa"/>
          <w:bottom w:w="28" w:type="dxa"/>
          <w:right w:w="28" w:type="dxa"/>
        </w:tblCellMar>
      </w:tblPr>
      <w:tblGrid>
        <w:gridCol w:w="620"/>
        <w:gridCol w:w="5518"/>
        <w:gridCol w:w="3500"/>
      </w:tblGrid>
      <w:tr>
        <w:trPr/>
        <w:tc>
          <w:tcPr>
            <w:tcW w:w="620" w:type="dxa"/>
            <w:tcBorders/>
            <w:vAlign w:val="center"/>
          </w:tcPr>
          <w:p>
            <w:pPr>
              <w:pStyle w:val="TableHeading"/>
              <w:suppressLineNumbers/>
              <w:shd w:fill="1F3864" w:val="clear"/>
              <w:bidi w:val="0"/>
              <w:spacing w:before="40" w:after="40"/>
              <w:jc w:val="left"/>
              <w:rPr/>
            </w:pPr>
            <w:r>
              <w:rPr/>
              <w:t>#</w:t>
            </w:r>
          </w:p>
        </w:tc>
        <w:tc>
          <w:tcPr>
            <w:tcW w:w="5518" w:type="dxa"/>
            <w:tcBorders/>
            <w:vAlign w:val="center"/>
          </w:tcPr>
          <w:p>
            <w:pPr>
              <w:pStyle w:val="TableHeading"/>
              <w:suppressLineNumbers/>
              <w:shd w:fill="1F3864" w:val="clear"/>
              <w:bidi w:val="0"/>
              <w:spacing w:before="40" w:after="40"/>
              <w:jc w:val="left"/>
              <w:rPr/>
            </w:pPr>
            <w:r>
              <w:rPr/>
              <w:t>Question</w:t>
            </w:r>
          </w:p>
        </w:tc>
        <w:tc>
          <w:tcPr>
            <w:tcW w:w="3500" w:type="dxa"/>
            <w:tcBorders/>
            <w:vAlign w:val="center"/>
          </w:tcPr>
          <w:p>
            <w:pPr>
              <w:pStyle w:val="TableHeading"/>
              <w:suppressLineNumbers/>
              <w:shd w:fill="1F3864" w:val="clear"/>
              <w:bidi w:val="0"/>
              <w:spacing w:before="40" w:after="40"/>
              <w:jc w:val="left"/>
              <w:rPr/>
            </w:pPr>
            <w:r>
              <w:rPr/>
              <w:t>What it decides</w:t>
            </w:r>
          </w:p>
        </w:tc>
      </w:tr>
      <w:tr>
        <w:trPr/>
        <w:tc>
          <w:tcPr>
            <w:tcW w:w="620" w:type="dxa"/>
            <w:tcBorders/>
            <w:vAlign w:val="center"/>
          </w:tcPr>
          <w:p>
            <w:pPr>
              <w:pStyle w:val="TableContents"/>
              <w:bidi w:val="0"/>
              <w:spacing w:before="40" w:after="40"/>
              <w:jc w:val="left"/>
              <w:rPr/>
            </w:pPr>
            <w:r>
              <w:rPr/>
              <w:t>Q1</w:t>
            </w:r>
          </w:p>
        </w:tc>
        <w:tc>
          <w:tcPr>
            <w:tcW w:w="5518" w:type="dxa"/>
            <w:tcBorders/>
            <w:vAlign w:val="center"/>
          </w:tcPr>
          <w:p>
            <w:pPr>
              <w:pStyle w:val="TableContents"/>
              <w:bidi w:val="0"/>
              <w:spacing w:before="40" w:after="40"/>
              <w:jc w:val="left"/>
              <w:rPr/>
            </w:pPr>
            <w:r>
              <w:rPr/>
              <w:t>Who will build the NEXT3-side endpoints — the AXA IT team or the NEXT3 vendor? Is that work budgeted, assigned and scheduled, and for when?</w:t>
            </w:r>
          </w:p>
        </w:tc>
        <w:tc>
          <w:tcPr>
            <w:tcW w:w="3500" w:type="dxa"/>
            <w:tcBorders/>
            <w:vAlign w:val="center"/>
          </w:tcPr>
          <w:p>
            <w:pPr>
              <w:pStyle w:val="TableContents"/>
              <w:bidi w:val="0"/>
              <w:spacing w:before="40" w:after="40"/>
              <w:jc w:val="left"/>
              <w:rPr/>
            </w:pPr>
            <w:r>
              <w:rPr/>
              <w:t>Whether “endpoints will be provided” means two weeks or two months. Governs the whole plan.</w:t>
            </w:r>
          </w:p>
        </w:tc>
      </w:tr>
      <w:tr>
        <w:trPr/>
        <w:tc>
          <w:tcPr>
            <w:tcW w:w="620" w:type="dxa"/>
            <w:tcBorders/>
            <w:vAlign w:val="center"/>
          </w:tcPr>
          <w:p>
            <w:pPr>
              <w:pStyle w:val="TableContents"/>
              <w:bidi w:val="0"/>
              <w:spacing w:before="40" w:after="40"/>
              <w:jc w:val="left"/>
              <w:rPr/>
            </w:pPr>
            <w:r>
              <w:rPr/>
              <w:t>Q2</w:t>
            </w:r>
          </w:p>
        </w:tc>
        <w:tc>
          <w:tcPr>
            <w:tcW w:w="5518" w:type="dxa"/>
            <w:tcBorders/>
            <w:vAlign w:val="center"/>
          </w:tcPr>
          <w:p>
            <w:pPr>
              <w:pStyle w:val="TableContents"/>
              <w:bidi w:val="0"/>
              <w:spacing w:before="40" w:after="40"/>
              <w:jc w:val="left"/>
              <w:rPr/>
            </w:pPr>
            <w:r>
              <w:rPr/>
              <w:t xml:space="preserve">On what date can a NEXT3 </w:t>
            </w:r>
            <w:r>
              <w:rPr>
                <w:b/>
              </w:rPr>
              <w:t>sandbox</w:t>
            </w:r>
            <w:r>
              <w:rPr/>
              <w:t xml:space="preserve"> be made available — URL, credentials, authentication method (OAuth, API key or mutual TLS), rate limits and representative test data?</w:t>
            </w:r>
          </w:p>
        </w:tc>
        <w:tc>
          <w:tcPr>
            <w:tcW w:w="3500" w:type="dxa"/>
            <w:tcBorders/>
            <w:vAlign w:val="center"/>
          </w:tcPr>
          <w:p>
            <w:pPr>
              <w:pStyle w:val="TableContents"/>
              <w:bidi w:val="0"/>
              <w:spacing w:before="40" w:after="40"/>
              <w:jc w:val="left"/>
              <w:rPr/>
            </w:pPr>
            <w:r>
              <w:rPr/>
              <w:t>The date development stops being able to run on a simulator.</w:t>
            </w:r>
          </w:p>
        </w:tc>
      </w:tr>
      <w:tr>
        <w:trPr/>
        <w:tc>
          <w:tcPr>
            <w:tcW w:w="620" w:type="dxa"/>
            <w:tcBorders/>
            <w:vAlign w:val="center"/>
          </w:tcPr>
          <w:p>
            <w:pPr>
              <w:pStyle w:val="TableContents"/>
              <w:bidi w:val="0"/>
              <w:spacing w:before="40" w:after="40"/>
              <w:jc w:val="left"/>
              <w:rPr/>
            </w:pPr>
            <w:r>
              <w:rPr/>
              <w:t>Q3</w:t>
            </w:r>
          </w:p>
        </w:tc>
        <w:tc>
          <w:tcPr>
            <w:tcW w:w="5518" w:type="dxa"/>
            <w:tcBorders/>
            <w:vAlign w:val="center"/>
          </w:tcPr>
          <w:p>
            <w:pPr>
              <w:pStyle w:val="TableContents"/>
              <w:bidi w:val="0"/>
              <w:spacing w:before="40" w:after="40"/>
              <w:jc w:val="left"/>
              <w:rPr/>
            </w:pPr>
            <w:r>
              <w:rPr/>
              <w:t>Are the NEXT3 endpoints reachable from the internet, or internal-only? If internal-only, which connectivity method does AXA prefer, and who configures it? (See 3.3.)</w:t>
            </w:r>
          </w:p>
        </w:tc>
        <w:tc>
          <w:tcPr>
            <w:tcW w:w="3500" w:type="dxa"/>
            <w:tcBorders/>
            <w:vAlign w:val="center"/>
          </w:tcPr>
          <w:p>
            <w:pPr>
              <w:pStyle w:val="TableContents"/>
              <w:bidi w:val="0"/>
              <w:spacing w:before="40" w:after="40"/>
              <w:jc w:val="left"/>
              <w:rPr/>
            </w:pPr>
            <w:r>
              <w:rPr/>
              <w:t>Hosting design, and a security approval that can take weeks.</w:t>
            </w:r>
          </w:p>
        </w:tc>
      </w:tr>
      <w:tr>
        <w:trPr/>
        <w:tc>
          <w:tcPr>
            <w:tcW w:w="620" w:type="dxa"/>
            <w:tcBorders/>
            <w:vAlign w:val="center"/>
          </w:tcPr>
          <w:p>
            <w:pPr>
              <w:pStyle w:val="TableContents"/>
              <w:bidi w:val="0"/>
              <w:spacing w:before="40" w:after="40"/>
              <w:jc w:val="left"/>
              <w:rPr/>
            </w:pPr>
            <w:r>
              <w:rPr/>
              <w:t>Q4</w:t>
            </w:r>
          </w:p>
        </w:tc>
        <w:tc>
          <w:tcPr>
            <w:tcW w:w="5518" w:type="dxa"/>
            <w:tcBorders/>
            <w:vAlign w:val="center"/>
          </w:tcPr>
          <w:p>
            <w:pPr>
              <w:pStyle w:val="TableContents"/>
              <w:bidi w:val="0"/>
              <w:spacing w:before="40" w:after="40"/>
              <w:jc w:val="left"/>
              <w:rPr/>
            </w:pPr>
            <w:r>
              <w:rPr/>
              <w:t xml:space="preserve">Is the integration a web API, or a shared directory for files plus record inserts into the NEXT3 database? The BRD prerequisites refer to </w:t>
            </w:r>
            <w:r>
              <w:rPr>
                <w:i/>
              </w:rPr>
              <w:t>identifying the directory to upload photos and insert records</w:t>
            </w:r>
            <w:r>
              <w:rPr/>
              <w:t>, which suggests the second. If it is the second: which database platform does NEXT3 use, and what is the maximum accepted file size?</w:t>
            </w:r>
          </w:p>
        </w:tc>
        <w:tc>
          <w:tcPr>
            <w:tcW w:w="3500" w:type="dxa"/>
            <w:tcBorders/>
            <w:vAlign w:val="center"/>
          </w:tcPr>
          <w:p>
            <w:pPr>
              <w:pStyle w:val="TableContents"/>
              <w:bidi w:val="0"/>
              <w:spacing w:before="40" w:after="40"/>
              <w:jc w:val="left"/>
              <w:rPr/>
            </w:pPr>
            <w:r>
              <w:rPr/>
              <w:t>These are two materially different builds. Confirming early avoids rework.</w:t>
            </w:r>
          </w:p>
        </w:tc>
      </w:tr>
    </w:tbl>
    <w:p>
      <w:pPr>
        <w:pStyle w:val="Heading3"/>
        <w:bidi w:val="0"/>
        <w:jc w:val="left"/>
        <w:rPr/>
      </w:pPr>
      <w:r>
        <w:rPr/>
        <w:t>3.3 Connectivity options, if NEXT3 is internal-only</w:t>
      </w:r>
    </w:p>
    <w:p>
      <w:pPr>
        <w:pStyle w:val="BodyText"/>
        <w:bidi w:val="0"/>
        <w:jc w:val="left"/>
        <w:rPr/>
      </w:pPr>
      <w:r>
        <w:rPr/>
        <w:t>This is the most likely situation for a claims core system, and it is entirely normal. Three options exist, listed in the order I would recommend them:</w:t>
      </w:r>
    </w:p>
    <w:p>
      <w:pPr>
        <w:pStyle w:val="BodyText"/>
        <w:numPr>
          <w:ilvl w:val="0"/>
          <w:numId w:val="1"/>
        </w:numPr>
        <w:tabs>
          <w:tab w:val="clear" w:pos="1134"/>
          <w:tab w:val="left" w:pos="709" w:leader="none"/>
        </w:tabs>
        <w:bidi w:val="0"/>
        <w:spacing w:before="0" w:after="0"/>
        <w:ind w:hanging="283" w:left="709"/>
        <w:jc w:val="left"/>
        <w:rPr/>
      </w:pPr>
      <w:r>
        <w:rPr>
          <w:b/>
        </w:rPr>
        <w:t>Outbound tunnel</w:t>
      </w:r>
      <w:r>
        <w:rPr/>
        <w:t xml:space="preserve"> (recommended) — a small agent installed on the AXA side that makes an outbound connection only. </w:t>
      </w:r>
      <w:r>
        <w:rPr>
          <w:b/>
        </w:rPr>
        <w:t>No inbound firewall rule is required and nothing is exposed to the internet</w:t>
      </w:r>
      <w:r>
        <w:rPr/>
        <w:t xml:space="preserve">, which is usually the fastest option to pass a security review. </w:t>
      </w:r>
    </w:p>
    <w:p>
      <w:pPr>
        <w:pStyle w:val="BodyText"/>
        <w:numPr>
          <w:ilvl w:val="0"/>
          <w:numId w:val="1"/>
        </w:numPr>
        <w:tabs>
          <w:tab w:val="clear" w:pos="1134"/>
          <w:tab w:val="left" w:pos="709" w:leader="none"/>
        </w:tabs>
        <w:bidi w:val="0"/>
        <w:spacing w:before="0" w:after="0"/>
        <w:ind w:hanging="283" w:left="709"/>
        <w:jc w:val="left"/>
        <w:rPr/>
      </w:pPr>
      <w:r>
        <w:rPr>
          <w:b/>
        </w:rPr>
        <w:t>Site-to-site VPN</w:t>
      </w:r>
      <w:r>
        <w:rPr/>
        <w:t xml:space="preserve"> — robust and well understood, but typically the slowest to provision. </w:t>
      </w:r>
    </w:p>
    <w:p>
      <w:pPr>
        <w:pStyle w:val="BodyText"/>
        <w:numPr>
          <w:ilvl w:val="0"/>
          <w:numId w:val="1"/>
        </w:numPr>
        <w:tabs>
          <w:tab w:val="clear" w:pos="1134"/>
          <w:tab w:val="left" w:pos="709" w:leader="none"/>
        </w:tabs>
        <w:bidi w:val="0"/>
        <w:ind w:hanging="283" w:left="709"/>
        <w:jc w:val="left"/>
        <w:rPr/>
      </w:pPr>
      <w:r>
        <w:rPr>
          <w:b/>
        </w:rPr>
        <w:t>Restricted internet exposure</w:t>
      </w:r>
      <w:r>
        <w:rPr/>
        <w:t xml:space="preserve"> — IP allow-listing plus mutual TLS. Technically straightforward, but generally the hardest to get approved. </w:t>
      </w:r>
    </w:p>
    <w:p>
      <w:pPr>
        <w:pStyle w:val="BodyText"/>
        <w:bidi w:val="0"/>
        <w:jc w:val="left"/>
        <w:rPr/>
      </w:pPr>
      <w:r>
        <w:rPr/>
        <w:t>Any of the three works. The request is simply that AXA choose one and name the person who will implement it.</w:t>
      </w:r>
    </w:p>
    <w:p>
      <w:pPr>
        <w:pStyle w:val="Heading3"/>
        <w:bidi w:val="0"/>
        <w:jc w:val="left"/>
        <w:rPr/>
      </w:pPr>
      <w:r>
        <w:rPr/>
        <w:t>3.4 Proposed interface specification</w:t>
      </w:r>
    </w:p>
    <w:p>
      <w:pPr>
        <w:pStyle w:val="BodyText"/>
        <w:bidi w:val="0"/>
        <w:jc w:val="left"/>
        <w:rPr/>
      </w:pPr>
      <w:r>
        <w:rPr/>
        <w:t xml:space="preserve">Rather than wait to receive a specification, I will send a </w:t>
      </w:r>
      <w:r>
        <w:rPr>
          <w:b/>
        </w:rPr>
        <w:t>proposed API specification</w:t>
      </w:r>
      <w:r>
        <w:rPr/>
        <w:t xml:space="preserve"> within the coming week: approximately eight endpoints described in OpenAPI, the industry-standard machine-readable format. It will cover authentication, claim retrieval by visa number, claim search by plate or visa, recording expert arrival with location, document and photograph upload, and the expert master-data extract.</w:t>
      </w:r>
    </w:p>
    <w:p>
      <w:pPr>
        <w:pStyle w:val="BodyText"/>
        <w:bidi w:val="0"/>
        <w:jc w:val="left"/>
        <w:rPr/>
      </w:pPr>
      <w:r>
        <w:rPr/>
        <w:t>The intention is that whoever builds the NEXT3 side reviews and amends that document rather than composing one from scratch. It converts an open dependency into a reviewable deliverable with a date against it, and removes a round of mutual guesswork.</w:t>
      </w:r>
    </w:p>
    <w:p>
      <w:pPr>
        <w:pStyle w:val="Heading3"/>
        <w:bidi w:val="0"/>
        <w:jc w:val="left"/>
        <w:rPr/>
      </w:pPr>
      <w:r>
        <w:rPr/>
        <w:t>3.5 Further NEXT3 questions — required before week 3</w:t>
      </w:r>
    </w:p>
    <w:p>
      <w:pPr>
        <w:pStyle w:val="BodyText"/>
        <w:bidi w:val="0"/>
        <w:jc w:val="left"/>
        <w:rPr/>
      </w:pPr>
      <w:r>
        <w:rPr/>
        <w:t>These do not block the start of development, but each one blocks a specific feature, and answers are needed before the real integration is wired in.</w:t>
      </w:r>
    </w:p>
    <w:tbl>
      <w:tblPr>
        <w:tblW w:w="9638" w:type="dxa"/>
        <w:jc w:val="left"/>
        <w:tblInd w:w="0" w:type="dxa"/>
        <w:tblLayout w:type="fixed"/>
        <w:tblCellMar>
          <w:top w:w="28" w:type="dxa"/>
          <w:left w:w="28" w:type="dxa"/>
          <w:bottom w:w="28" w:type="dxa"/>
          <w:right w:w="28" w:type="dxa"/>
        </w:tblCellMar>
      </w:tblPr>
      <w:tblGrid>
        <w:gridCol w:w="620"/>
        <w:gridCol w:w="5518"/>
        <w:gridCol w:w="3500"/>
      </w:tblGrid>
      <w:tr>
        <w:trPr/>
        <w:tc>
          <w:tcPr>
            <w:tcW w:w="620" w:type="dxa"/>
            <w:tcBorders/>
            <w:vAlign w:val="center"/>
          </w:tcPr>
          <w:p>
            <w:pPr>
              <w:pStyle w:val="TableHeading"/>
              <w:suppressLineNumbers/>
              <w:shd w:fill="1F3864" w:val="clear"/>
              <w:bidi w:val="0"/>
              <w:spacing w:before="40" w:after="40"/>
              <w:jc w:val="left"/>
              <w:rPr/>
            </w:pPr>
            <w:r>
              <w:rPr/>
              <w:t>#</w:t>
            </w:r>
          </w:p>
        </w:tc>
        <w:tc>
          <w:tcPr>
            <w:tcW w:w="5518" w:type="dxa"/>
            <w:tcBorders/>
            <w:vAlign w:val="center"/>
          </w:tcPr>
          <w:p>
            <w:pPr>
              <w:pStyle w:val="TableHeading"/>
              <w:suppressLineNumbers/>
              <w:shd w:fill="1F3864" w:val="clear"/>
              <w:bidi w:val="0"/>
              <w:spacing w:before="40" w:after="40"/>
              <w:jc w:val="left"/>
              <w:rPr/>
            </w:pPr>
            <w:r>
              <w:rPr/>
              <w:t>Question</w:t>
            </w:r>
          </w:p>
        </w:tc>
        <w:tc>
          <w:tcPr>
            <w:tcW w:w="3500" w:type="dxa"/>
            <w:tcBorders/>
            <w:vAlign w:val="center"/>
          </w:tcPr>
          <w:p>
            <w:pPr>
              <w:pStyle w:val="TableHeading"/>
              <w:suppressLineNumbers/>
              <w:shd w:fill="1F3864" w:val="clear"/>
              <w:bidi w:val="0"/>
              <w:spacing w:before="40" w:after="40"/>
              <w:jc w:val="left"/>
              <w:rPr/>
            </w:pPr>
            <w:r>
              <w:rPr/>
              <w:t>Why it matters</w:t>
            </w:r>
          </w:p>
        </w:tc>
      </w:tr>
      <w:tr>
        <w:trPr/>
        <w:tc>
          <w:tcPr>
            <w:tcW w:w="620" w:type="dxa"/>
            <w:tcBorders/>
            <w:vAlign w:val="center"/>
          </w:tcPr>
          <w:p>
            <w:pPr>
              <w:pStyle w:val="TableContents"/>
              <w:bidi w:val="0"/>
              <w:spacing w:before="40" w:after="40"/>
              <w:jc w:val="left"/>
              <w:rPr/>
            </w:pPr>
            <w:r>
              <w:rPr/>
              <w:t>Q5</w:t>
            </w:r>
          </w:p>
        </w:tc>
        <w:tc>
          <w:tcPr>
            <w:tcW w:w="5518" w:type="dxa"/>
            <w:tcBorders/>
            <w:vAlign w:val="center"/>
          </w:tcPr>
          <w:p>
            <w:pPr>
              <w:pStyle w:val="TableContents"/>
              <w:bidi w:val="0"/>
              <w:spacing w:before="40" w:after="40"/>
              <w:jc w:val="left"/>
              <w:rPr/>
            </w:pPr>
            <w:r>
              <w:rPr/>
              <w:t>Does NEXT3 recognise a reference identifier supplied by the calling application, and reject or ignore a repeat submission carrying the same one?</w:t>
            </w:r>
          </w:p>
        </w:tc>
        <w:tc>
          <w:tcPr>
            <w:tcW w:w="3500" w:type="dxa"/>
            <w:tcBorders/>
            <w:vAlign w:val="center"/>
          </w:tcPr>
          <w:p>
            <w:pPr>
              <w:pStyle w:val="TableContents"/>
              <w:bidi w:val="0"/>
              <w:spacing w:before="40" w:after="40"/>
              <w:jc w:val="left"/>
              <w:rPr/>
            </w:pPr>
            <w:r>
              <w:rPr>
                <w:b/>
              </w:rPr>
              <w:t>Data integrity.</w:t>
            </w:r>
            <w:r>
              <w:rPr/>
              <w:t xml:space="preserve"> If a connection drops after NEXT3 has accepted a photograph but before it confirms, the application must retry. Without a reference that NEXT3 checks against, that retry creates a duplicate photograph in the claim file.</w:t>
            </w:r>
          </w:p>
        </w:tc>
      </w:tr>
      <w:tr>
        <w:trPr/>
        <w:tc>
          <w:tcPr>
            <w:tcW w:w="620" w:type="dxa"/>
            <w:tcBorders/>
            <w:vAlign w:val="center"/>
          </w:tcPr>
          <w:p>
            <w:pPr>
              <w:pStyle w:val="TableContents"/>
              <w:bidi w:val="0"/>
              <w:spacing w:before="40" w:after="40"/>
              <w:jc w:val="left"/>
              <w:rPr/>
            </w:pPr>
            <w:r>
              <w:rPr/>
              <w:t>Q6</w:t>
            </w:r>
          </w:p>
        </w:tc>
        <w:tc>
          <w:tcPr>
            <w:tcW w:w="5518" w:type="dxa"/>
            <w:tcBorders/>
            <w:vAlign w:val="center"/>
          </w:tcPr>
          <w:p>
            <w:pPr>
              <w:pStyle w:val="TableContents"/>
              <w:bidi w:val="0"/>
              <w:spacing w:before="40" w:after="40"/>
              <w:jc w:val="left"/>
              <w:rPr/>
            </w:pPr>
            <w:r>
              <w:rPr/>
              <w:t>How does the application learn that a new visa has been assigned to an expert? The BRD states that a back-office engine triggers the process, but not how that reaches the application. A notification sent from NEXT3 to the application is strongly preferred; otherwise the application must poll NEXT3 on a schedule.</w:t>
            </w:r>
          </w:p>
        </w:tc>
        <w:tc>
          <w:tcPr>
            <w:tcW w:w="3500" w:type="dxa"/>
            <w:tcBorders/>
            <w:vAlign w:val="center"/>
          </w:tcPr>
          <w:p>
            <w:pPr>
              <w:pStyle w:val="TableContents"/>
              <w:bidi w:val="0"/>
              <w:spacing w:before="40" w:after="40"/>
              <w:jc w:val="left"/>
              <w:rPr/>
            </w:pPr>
            <w:r>
              <w:rPr>
                <w:b/>
              </w:rPr>
              <w:t>A genuine gap in the BRD.</w:t>
            </w:r>
            <w:r>
              <w:rPr/>
              <w:t xml:space="preserve"> The expert flow begins with a notification on the expert’s phone, so this must be resolved for the primary flow to work at all.</w:t>
            </w:r>
          </w:p>
        </w:tc>
      </w:tr>
      <w:tr>
        <w:trPr/>
        <w:tc>
          <w:tcPr>
            <w:tcW w:w="620" w:type="dxa"/>
            <w:tcBorders/>
            <w:vAlign w:val="center"/>
          </w:tcPr>
          <w:p>
            <w:pPr>
              <w:pStyle w:val="TableContents"/>
              <w:bidi w:val="0"/>
              <w:spacing w:before="40" w:after="40"/>
              <w:jc w:val="left"/>
              <w:rPr/>
            </w:pPr>
            <w:r>
              <w:rPr/>
              <w:t>Q7</w:t>
            </w:r>
          </w:p>
        </w:tc>
        <w:tc>
          <w:tcPr>
            <w:tcW w:w="5518" w:type="dxa"/>
            <w:tcBorders/>
            <w:vAlign w:val="center"/>
          </w:tcPr>
          <w:p>
            <w:pPr>
              <w:pStyle w:val="TableContents"/>
              <w:bidi w:val="0"/>
              <w:spacing w:before="40" w:after="40"/>
              <w:jc w:val="left"/>
              <w:rPr/>
            </w:pPr>
            <w:r>
              <w:rPr/>
              <w:t xml:space="preserve">The exact document-type codes NEXT3 expects for the </w:t>
            </w:r>
            <w:r>
              <w:rPr>
                <w:i/>
              </w:rPr>
              <w:t>Expert documents</w:t>
            </w:r>
            <w:r>
              <w:rPr/>
              <w:t xml:space="preserve"> folder and the </w:t>
            </w:r>
            <w:r>
              <w:rPr>
                <w:i/>
              </w:rPr>
              <w:t>Survey</w:t>
            </w:r>
            <w:r>
              <w:rPr/>
              <w:t xml:space="preserve"> folder.</w:t>
            </w:r>
          </w:p>
        </w:tc>
        <w:tc>
          <w:tcPr>
            <w:tcW w:w="3500" w:type="dxa"/>
            <w:tcBorders/>
            <w:vAlign w:val="center"/>
          </w:tcPr>
          <w:p>
            <w:pPr>
              <w:pStyle w:val="TableContents"/>
              <w:bidi w:val="0"/>
              <w:spacing w:before="40" w:after="40"/>
              <w:jc w:val="left"/>
              <w:rPr/>
            </w:pPr>
            <w:r>
              <w:rPr/>
              <w:t>Photographs must be filed in the correct folder, or the manual sorting problem is simply relocated.</w:t>
            </w:r>
          </w:p>
        </w:tc>
      </w:tr>
      <w:tr>
        <w:trPr/>
        <w:tc>
          <w:tcPr>
            <w:tcW w:w="620" w:type="dxa"/>
            <w:tcBorders/>
            <w:vAlign w:val="center"/>
          </w:tcPr>
          <w:p>
            <w:pPr>
              <w:pStyle w:val="TableContents"/>
              <w:bidi w:val="0"/>
              <w:spacing w:before="40" w:after="40"/>
              <w:jc w:val="left"/>
              <w:rPr/>
            </w:pPr>
            <w:r>
              <w:rPr/>
              <w:t>Q8</w:t>
            </w:r>
          </w:p>
        </w:tc>
        <w:tc>
          <w:tcPr>
            <w:tcW w:w="5518" w:type="dxa"/>
            <w:tcBorders/>
            <w:vAlign w:val="center"/>
          </w:tcPr>
          <w:p>
            <w:pPr>
              <w:pStyle w:val="TableContents"/>
              <w:bidi w:val="0"/>
              <w:spacing w:before="40" w:after="40"/>
              <w:jc w:val="left"/>
              <w:rPr/>
            </w:pPr>
            <w:r>
              <w:rPr/>
              <w:t xml:space="preserve">For the </w:t>
            </w:r>
            <w:r>
              <w:rPr>
                <w:i/>
              </w:rPr>
              <w:t>Expert Arrived</w:t>
            </w:r>
            <w:r>
              <w:rPr/>
              <w:t xml:space="preserve"> update: which fields are written, by which endpoint, and in what date, time and coordinate formats?</w:t>
            </w:r>
          </w:p>
        </w:tc>
        <w:tc>
          <w:tcPr>
            <w:tcW w:w="3500" w:type="dxa"/>
            <w:tcBorders/>
            <w:vAlign w:val="center"/>
          </w:tcPr>
          <w:p>
            <w:pPr>
              <w:pStyle w:val="TableContents"/>
              <w:bidi w:val="0"/>
              <w:spacing w:before="40" w:after="40"/>
              <w:jc w:val="left"/>
              <w:rPr/>
            </w:pPr>
            <w:r>
              <w:rPr/>
              <w:t>Named explicitly in the BRD; cannot be implemented on assumption.</w:t>
            </w:r>
          </w:p>
        </w:tc>
      </w:tr>
      <w:tr>
        <w:trPr/>
        <w:tc>
          <w:tcPr>
            <w:tcW w:w="620" w:type="dxa"/>
            <w:tcBorders/>
            <w:vAlign w:val="center"/>
          </w:tcPr>
          <w:p>
            <w:pPr>
              <w:pStyle w:val="TableContents"/>
              <w:bidi w:val="0"/>
              <w:spacing w:before="40" w:after="40"/>
              <w:jc w:val="left"/>
              <w:rPr/>
            </w:pPr>
            <w:r>
              <w:rPr/>
              <w:t>Q9</w:t>
            </w:r>
          </w:p>
        </w:tc>
        <w:tc>
          <w:tcPr>
            <w:tcW w:w="5518" w:type="dxa"/>
            <w:tcBorders/>
            <w:vAlign w:val="center"/>
          </w:tcPr>
          <w:p>
            <w:pPr>
              <w:pStyle w:val="TableContents"/>
              <w:bidi w:val="0"/>
              <w:spacing w:before="40" w:after="40"/>
              <w:jc w:val="left"/>
              <w:rPr/>
            </w:pPr>
            <w:r>
              <w:rPr/>
              <w:t>What availability does NEXT3 offer, and are there scheduled maintenance windows?</w:t>
            </w:r>
          </w:p>
        </w:tc>
        <w:tc>
          <w:tcPr>
            <w:tcW w:w="3500" w:type="dxa"/>
            <w:tcBorders/>
            <w:vAlign w:val="center"/>
          </w:tcPr>
          <w:p>
            <w:pPr>
              <w:pStyle w:val="TableContents"/>
              <w:bidi w:val="0"/>
              <w:spacing w:before="40" w:after="40"/>
              <w:jc w:val="left"/>
              <w:rPr/>
            </w:pPr>
            <w:r>
              <w:rPr/>
              <w:t>Determines how the application queues and retries during a NEXT3 outage. The design already assumes outages will happen and that experts must be able to keep working through them.</w:t>
            </w:r>
          </w:p>
        </w:tc>
      </w:tr>
      <w:tr>
        <w:trPr/>
        <w:tc>
          <w:tcPr>
            <w:tcW w:w="620" w:type="dxa"/>
            <w:tcBorders/>
            <w:vAlign w:val="center"/>
          </w:tcPr>
          <w:p>
            <w:pPr>
              <w:pStyle w:val="TableContents"/>
              <w:bidi w:val="0"/>
              <w:spacing w:before="40" w:after="40"/>
              <w:jc w:val="left"/>
              <w:rPr/>
            </w:pPr>
            <w:r>
              <w:rPr/>
              <w:t>Q10</w:t>
            </w:r>
          </w:p>
        </w:tc>
        <w:tc>
          <w:tcPr>
            <w:tcW w:w="5518" w:type="dxa"/>
            <w:tcBorders/>
            <w:vAlign w:val="center"/>
          </w:tcPr>
          <w:p>
            <w:pPr>
              <w:pStyle w:val="TableContents"/>
              <w:bidi w:val="0"/>
              <w:spacing w:before="40" w:after="40"/>
              <w:jc w:val="left"/>
              <w:rPr/>
            </w:pPr>
            <w:r>
              <w:rPr/>
              <w:t>The expert extract (NEXT3 identifier, name, mobile number): in what format, and is it supplied once or kept synchronised?</w:t>
            </w:r>
          </w:p>
        </w:tc>
        <w:tc>
          <w:tcPr>
            <w:tcW w:w="3500" w:type="dxa"/>
            <w:tcBorders/>
            <w:vAlign w:val="center"/>
          </w:tcPr>
          <w:p>
            <w:pPr>
              <w:pStyle w:val="TableContents"/>
              <w:bidi w:val="0"/>
              <w:spacing w:before="40" w:after="40"/>
              <w:jc w:val="left"/>
              <w:rPr/>
            </w:pPr>
            <w:r>
              <w:rPr/>
              <w:t>Required for onboarding and for matching an app user to their NEXT3 identity.</w:t>
            </w:r>
          </w:p>
        </w:tc>
      </w:tr>
      <w:tr>
        <w:trPr/>
        <w:tc>
          <w:tcPr>
            <w:tcW w:w="620" w:type="dxa"/>
            <w:tcBorders/>
            <w:vAlign w:val="center"/>
          </w:tcPr>
          <w:p>
            <w:pPr>
              <w:pStyle w:val="TableContents"/>
              <w:bidi w:val="0"/>
              <w:spacing w:before="40" w:after="40"/>
              <w:jc w:val="left"/>
              <w:rPr/>
            </w:pPr>
            <w:r>
              <w:rPr/>
              <w:t>Q11</w:t>
            </w:r>
          </w:p>
        </w:tc>
        <w:tc>
          <w:tcPr>
            <w:tcW w:w="5518" w:type="dxa"/>
            <w:tcBorders/>
            <w:vAlign w:val="center"/>
          </w:tcPr>
          <w:p>
            <w:pPr>
              <w:pStyle w:val="TableContents"/>
              <w:bidi w:val="0"/>
              <w:spacing w:before="40" w:after="40"/>
              <w:jc w:val="left"/>
              <w:rPr/>
            </w:pPr>
            <w:r>
              <w:rPr/>
              <w:t>Does NEXT3 accept audio files, and under which document type?</w:t>
            </w:r>
          </w:p>
        </w:tc>
        <w:tc>
          <w:tcPr>
            <w:tcW w:w="3500" w:type="dxa"/>
            <w:tcBorders/>
            <w:vAlign w:val="center"/>
          </w:tcPr>
          <w:p>
            <w:pPr>
              <w:pStyle w:val="TableContents"/>
              <w:bidi w:val="0"/>
              <w:spacing w:before="40" w:after="40"/>
              <w:jc w:val="left"/>
              <w:rPr/>
            </w:pPr>
            <w:r>
              <w:rPr/>
              <w:t>The BRD requires the expert to record a voice note. If NEXT3 cannot store audio, an alternative needs agreeing.</w:t>
            </w:r>
          </w:p>
        </w:tc>
      </w:tr>
      <w:tr>
        <w:trPr/>
        <w:tc>
          <w:tcPr>
            <w:tcW w:w="620" w:type="dxa"/>
            <w:tcBorders/>
            <w:vAlign w:val="center"/>
          </w:tcPr>
          <w:p>
            <w:pPr>
              <w:pStyle w:val="TableContents"/>
              <w:bidi w:val="0"/>
              <w:spacing w:before="40" w:after="40"/>
              <w:jc w:val="left"/>
              <w:rPr/>
            </w:pPr>
            <w:r>
              <w:rPr/>
              <w:t>Q12</w:t>
            </w:r>
          </w:p>
        </w:tc>
        <w:tc>
          <w:tcPr>
            <w:tcW w:w="5518" w:type="dxa"/>
            <w:tcBorders/>
            <w:vAlign w:val="center"/>
          </w:tcPr>
          <w:p>
            <w:pPr>
              <w:pStyle w:val="TableContents"/>
              <w:bidi w:val="0"/>
              <w:spacing w:before="40" w:after="40"/>
              <w:jc w:val="left"/>
              <w:rPr/>
            </w:pPr>
            <w:r>
              <w:rPr/>
              <w:t>Is there an AXA-standard car damage diagram or set of damage codes, or is free-form marking acceptable?</w:t>
            </w:r>
          </w:p>
        </w:tc>
        <w:tc>
          <w:tcPr>
            <w:tcW w:w="3500" w:type="dxa"/>
            <w:tcBorders/>
            <w:vAlign w:val="center"/>
          </w:tcPr>
          <w:p>
            <w:pPr>
              <w:pStyle w:val="TableContents"/>
              <w:bidi w:val="0"/>
              <w:spacing w:before="40" w:after="40"/>
              <w:jc w:val="left"/>
              <w:rPr/>
            </w:pPr>
            <w:r>
              <w:rPr/>
              <w:t>Affects whether the damage-marking screen must match an existing AXA convention.</w:t>
            </w:r>
          </w:p>
        </w:tc>
      </w:tr>
      <w:tr>
        <w:trPr/>
        <w:tc>
          <w:tcPr>
            <w:tcW w:w="620" w:type="dxa"/>
            <w:tcBorders/>
            <w:vAlign w:val="center"/>
          </w:tcPr>
          <w:p>
            <w:pPr>
              <w:pStyle w:val="TableContents"/>
              <w:bidi w:val="0"/>
              <w:spacing w:before="40" w:after="40"/>
              <w:jc w:val="left"/>
              <w:rPr/>
            </w:pPr>
            <w:r>
              <w:rPr/>
              <w:t>Q13</w:t>
            </w:r>
          </w:p>
        </w:tc>
        <w:tc>
          <w:tcPr>
            <w:tcW w:w="5518" w:type="dxa"/>
            <w:tcBorders/>
            <w:vAlign w:val="center"/>
          </w:tcPr>
          <w:p>
            <w:pPr>
              <w:pStyle w:val="TableContents"/>
              <w:bidi w:val="0"/>
              <w:spacing w:before="40" w:after="40"/>
              <w:jc w:val="left"/>
              <w:rPr/>
            </w:pPr>
            <w:r>
              <w:rPr/>
              <w:t>When a claim officer finds that a visa does not yet exist, is it created directly in NEXT3 by the officer, or must the application create it?</w:t>
            </w:r>
          </w:p>
        </w:tc>
        <w:tc>
          <w:tcPr>
            <w:tcW w:w="3500" w:type="dxa"/>
            <w:tcBorders/>
            <w:vAlign w:val="center"/>
          </w:tcPr>
          <w:p>
            <w:pPr>
              <w:pStyle w:val="TableContents"/>
              <w:bidi w:val="0"/>
              <w:spacing w:before="40" w:after="40"/>
              <w:jc w:val="left"/>
              <w:rPr/>
            </w:pPr>
            <w:r>
              <w:rPr/>
              <w:t>The BRD implies the officer leaves the app and retries. Confirmation avoids building an unnecessary function.</w:t>
            </w:r>
          </w:p>
        </w:tc>
      </w:tr>
      <w:tr>
        <w:trPr/>
        <w:tc>
          <w:tcPr>
            <w:tcW w:w="620" w:type="dxa"/>
            <w:tcBorders/>
            <w:vAlign w:val="center"/>
          </w:tcPr>
          <w:p>
            <w:pPr>
              <w:pStyle w:val="TableContents"/>
              <w:bidi w:val="0"/>
              <w:spacing w:before="40" w:after="40"/>
              <w:jc w:val="left"/>
              <w:rPr/>
            </w:pPr>
            <w:r>
              <w:rPr/>
              <w:t>Q14</w:t>
            </w:r>
          </w:p>
        </w:tc>
        <w:tc>
          <w:tcPr>
            <w:tcW w:w="5518" w:type="dxa"/>
            <w:tcBorders/>
            <w:vAlign w:val="center"/>
          </w:tcPr>
          <w:p>
            <w:pPr>
              <w:pStyle w:val="TableContents"/>
              <w:bidi w:val="0"/>
              <w:spacing w:before="40" w:after="40"/>
              <w:jc w:val="left"/>
              <w:rPr/>
            </w:pPr>
            <w:r>
              <w:rPr/>
              <w:t>Should the transfer to NEXT3 be immediate, or batched once per day? The BRD leaves both open.</w:t>
            </w:r>
          </w:p>
        </w:tc>
        <w:tc>
          <w:tcPr>
            <w:tcW w:w="3500" w:type="dxa"/>
            <w:tcBorders/>
            <w:vAlign w:val="center"/>
          </w:tcPr>
          <w:p>
            <w:pPr>
              <w:pStyle w:val="TableContents"/>
              <w:bidi w:val="0"/>
              <w:spacing w:before="40" w:after="40"/>
              <w:jc w:val="left"/>
              <w:rPr/>
            </w:pPr>
            <w:r>
              <w:rPr/>
              <w:t xml:space="preserve">My recommendation is </w:t>
            </w:r>
            <w:r>
              <w:rPr>
                <w:b/>
              </w:rPr>
              <w:t>immediate</w:t>
            </w:r>
            <w:r>
              <w:rPr/>
              <w:t xml:space="preserve"> — simpler to build, and the delay is precisely what this project exists to remove.</w:t>
            </w:r>
          </w:p>
        </w:tc>
      </w:tr>
    </w:tbl>
    <w:p>
      <w:pPr>
        <w:pStyle w:val="Heading2"/>
        <w:bidi w:val="0"/>
        <w:jc w:val="left"/>
        <w:rPr/>
      </w:pPr>
      <w:r>
        <w:rPr/>
        <w:t>4. Running cost of the application</w:t>
      </w:r>
    </w:p>
    <w:p>
      <w:pPr>
        <w:pStyle w:val="Heading3"/>
        <w:bidi w:val="0"/>
        <w:jc w:val="left"/>
        <w:rPr/>
      </w:pPr>
      <w:r>
        <w:rPr/>
        <w:t>4.1 Assumed volumes</w:t>
      </w:r>
    </w:p>
    <w:p>
      <w:pPr>
        <w:pStyle w:val="BodyText"/>
        <w:bidi w:val="0"/>
        <w:jc w:val="left"/>
        <w:rPr/>
      </w:pPr>
      <w:r>
        <w:rPr/>
        <w:t xml:space="preserve">The BRD does not state volumes, so the figures below assume </w:t>
      </w:r>
      <w:r>
        <w:rPr>
          <w:b/>
        </w:rPr>
        <w:t>approximately 100 claims per day</w:t>
      </w:r>
      <w:r>
        <w:rPr/>
        <w:t xml:space="preserve"> (about 3,000 per month), </w:t>
      </w:r>
      <w:r>
        <w:rPr>
          <w:b/>
        </w:rPr>
        <w:t>15 photographs per claim</w:t>
      </w:r>
      <w:r>
        <w:rPr/>
        <w:t xml:space="preserve"> at around 1.5 MB each, and </w:t>
      </w:r>
      <w:r>
        <w:rPr>
          <w:b/>
        </w:rPr>
        <w:t>approximately 200 users</w:t>
      </w:r>
      <w:r>
        <w:rPr/>
        <w:t xml:space="preserve"> across all four profiles. Cost scales with these numbers, so please correct them if they are wrong — they are the single largest influence on everything in this section.</w:t>
      </w:r>
    </w:p>
    <w:p>
      <w:pPr>
        <w:pStyle w:val="Heading3"/>
        <w:bidi w:val="0"/>
        <w:jc w:val="left"/>
        <w:rPr/>
      </w:pPr>
      <w:r>
        <w:rPr/>
        <w:t>4.2 Hosting and platform</w:t>
      </w:r>
    </w:p>
    <w:p>
      <w:pPr>
        <w:pStyle w:val="BodyText"/>
        <w:bidi w:val="0"/>
        <w:jc w:val="left"/>
        <w:rPr/>
      </w:pPr>
      <w:r>
        <w:rPr/>
        <w:t>Assumes deployment to Microsoft Azure, which matches AXA’s existing technology estate and means the application can be supported by AXA’s own team after handover.</w:t>
      </w:r>
    </w:p>
    <w:tbl>
      <w:tblPr>
        <w:tblW w:w="9638" w:type="dxa"/>
        <w:jc w:val="left"/>
        <w:tblInd w:w="0" w:type="dxa"/>
        <w:tblLayout w:type="fixed"/>
        <w:tblCellMar>
          <w:top w:w="28" w:type="dxa"/>
          <w:left w:w="28" w:type="dxa"/>
          <w:bottom w:w="28" w:type="dxa"/>
          <w:right w:w="28" w:type="dxa"/>
        </w:tblCellMar>
      </w:tblPr>
      <w:tblGrid>
        <w:gridCol w:w="2400"/>
        <w:gridCol w:w="5138"/>
        <w:gridCol w:w="2100"/>
      </w:tblGrid>
      <w:tr>
        <w:trPr/>
        <w:tc>
          <w:tcPr>
            <w:tcW w:w="2400" w:type="dxa"/>
            <w:tcBorders/>
            <w:vAlign w:val="center"/>
          </w:tcPr>
          <w:p>
            <w:pPr>
              <w:pStyle w:val="TableHeading"/>
              <w:suppressLineNumbers/>
              <w:shd w:fill="1F3864" w:val="clear"/>
              <w:bidi w:val="0"/>
              <w:spacing w:before="40" w:after="40"/>
              <w:jc w:val="left"/>
              <w:rPr/>
            </w:pPr>
            <w:r>
              <w:rPr/>
              <w:t>Component</w:t>
            </w:r>
          </w:p>
        </w:tc>
        <w:tc>
          <w:tcPr>
            <w:tcW w:w="5138" w:type="dxa"/>
            <w:tcBorders/>
            <w:vAlign w:val="center"/>
          </w:tcPr>
          <w:p>
            <w:pPr>
              <w:pStyle w:val="TableHeading"/>
              <w:suppressLineNumbers/>
              <w:shd w:fill="1F3864" w:val="clear"/>
              <w:bidi w:val="0"/>
              <w:spacing w:before="40" w:after="40"/>
              <w:jc w:val="left"/>
              <w:rPr/>
            </w:pPr>
            <w:r>
              <w:rPr/>
              <w:t>Purpose</w:t>
            </w:r>
          </w:p>
        </w:tc>
        <w:tc>
          <w:tcPr>
            <w:tcW w:w="2100" w:type="dxa"/>
            <w:tcBorders/>
            <w:vAlign w:val="center"/>
          </w:tcPr>
          <w:p>
            <w:pPr>
              <w:pStyle w:val="TableHeading"/>
              <w:suppressLineNumbers/>
              <w:shd w:fill="1F3864" w:val="clear"/>
              <w:bidi w:val="0"/>
              <w:spacing w:before="40" w:after="40"/>
              <w:jc w:val="left"/>
              <w:rPr/>
            </w:pPr>
            <w:r>
              <w:rPr/>
              <w:t>Monthly</w:t>
            </w:r>
          </w:p>
        </w:tc>
      </w:tr>
      <w:tr>
        <w:trPr/>
        <w:tc>
          <w:tcPr>
            <w:tcW w:w="2400" w:type="dxa"/>
            <w:tcBorders/>
            <w:vAlign w:val="center"/>
          </w:tcPr>
          <w:p>
            <w:pPr>
              <w:pStyle w:val="TableContents"/>
              <w:bidi w:val="0"/>
              <w:spacing w:before="40" w:after="40"/>
              <w:jc w:val="left"/>
              <w:rPr/>
            </w:pPr>
            <w:r>
              <w:rPr/>
              <w:t>Container Apps</w:t>
            </w:r>
          </w:p>
        </w:tc>
        <w:tc>
          <w:tcPr>
            <w:tcW w:w="5138" w:type="dxa"/>
            <w:tcBorders/>
            <w:vAlign w:val="center"/>
          </w:tcPr>
          <w:p>
            <w:pPr>
              <w:pStyle w:val="TableContents"/>
              <w:bidi w:val="0"/>
              <w:spacing w:before="40" w:after="40"/>
              <w:jc w:val="left"/>
              <w:rPr/>
            </w:pPr>
            <w:r>
              <w:rPr/>
              <w:t>The application and its interface</w:t>
            </w:r>
          </w:p>
        </w:tc>
        <w:tc>
          <w:tcPr>
            <w:tcW w:w="2100" w:type="dxa"/>
            <w:tcBorders/>
            <w:vAlign w:val="center"/>
          </w:tcPr>
          <w:p>
            <w:pPr>
              <w:pStyle w:val="TableContents"/>
              <w:bidi w:val="0"/>
              <w:spacing w:before="40" w:after="40"/>
              <w:jc w:val="left"/>
              <w:rPr/>
            </w:pPr>
            <w:r>
              <w:rPr/>
              <w:t>USD 20 – 30</w:t>
            </w:r>
          </w:p>
        </w:tc>
      </w:tr>
      <w:tr>
        <w:trPr/>
        <w:tc>
          <w:tcPr>
            <w:tcW w:w="2400" w:type="dxa"/>
            <w:tcBorders/>
            <w:vAlign w:val="center"/>
          </w:tcPr>
          <w:p>
            <w:pPr>
              <w:pStyle w:val="TableContents"/>
              <w:bidi w:val="0"/>
              <w:spacing w:before="40" w:after="40"/>
              <w:jc w:val="left"/>
              <w:rPr/>
            </w:pPr>
            <w:r>
              <w:rPr/>
              <w:t>Container Apps Job</w:t>
            </w:r>
          </w:p>
        </w:tc>
        <w:tc>
          <w:tcPr>
            <w:tcW w:w="5138" w:type="dxa"/>
            <w:tcBorders/>
            <w:vAlign w:val="center"/>
          </w:tcPr>
          <w:p>
            <w:pPr>
              <w:pStyle w:val="TableContents"/>
              <w:bidi w:val="0"/>
              <w:spacing w:before="40" w:after="40"/>
              <w:jc w:val="left"/>
              <w:rPr/>
            </w:pPr>
            <w:r>
              <w:rPr/>
              <w:t>Background transfer of photographs into NEXT3, including retries</w:t>
            </w:r>
          </w:p>
        </w:tc>
        <w:tc>
          <w:tcPr>
            <w:tcW w:w="2100" w:type="dxa"/>
            <w:tcBorders/>
            <w:vAlign w:val="center"/>
          </w:tcPr>
          <w:p>
            <w:pPr>
              <w:pStyle w:val="TableContents"/>
              <w:bidi w:val="0"/>
              <w:spacing w:before="40" w:after="40"/>
              <w:jc w:val="left"/>
              <w:rPr/>
            </w:pPr>
            <w:r>
              <w:rPr/>
              <w:t>USD 3 – 5</w:t>
            </w:r>
          </w:p>
        </w:tc>
      </w:tr>
      <w:tr>
        <w:trPr/>
        <w:tc>
          <w:tcPr>
            <w:tcW w:w="2400" w:type="dxa"/>
            <w:tcBorders/>
            <w:vAlign w:val="center"/>
          </w:tcPr>
          <w:p>
            <w:pPr>
              <w:pStyle w:val="TableContents"/>
              <w:bidi w:val="0"/>
              <w:spacing w:before="40" w:after="40"/>
              <w:jc w:val="left"/>
              <w:rPr/>
            </w:pPr>
            <w:r>
              <w:rPr/>
              <w:t>Azure SQL Database</w:t>
            </w:r>
          </w:p>
        </w:tc>
        <w:tc>
          <w:tcPr>
            <w:tcW w:w="5138" w:type="dxa"/>
            <w:tcBorders/>
            <w:vAlign w:val="center"/>
          </w:tcPr>
          <w:p>
            <w:pPr>
              <w:pStyle w:val="TableContents"/>
              <w:bidi w:val="0"/>
              <w:spacing w:before="40" w:after="40"/>
              <w:jc w:val="left"/>
              <w:rPr/>
            </w:pPr>
            <w:r>
              <w:rPr/>
              <w:t>Application data (users, claim tracking, audit trail)</w:t>
            </w:r>
          </w:p>
        </w:tc>
        <w:tc>
          <w:tcPr>
            <w:tcW w:w="2100" w:type="dxa"/>
            <w:tcBorders/>
            <w:vAlign w:val="center"/>
          </w:tcPr>
          <w:p>
            <w:pPr>
              <w:pStyle w:val="TableContents"/>
              <w:bidi w:val="0"/>
              <w:spacing w:before="40" w:after="40"/>
              <w:jc w:val="left"/>
              <w:rPr/>
            </w:pPr>
            <w:r>
              <w:rPr/>
              <w:t>USD 30 – 50</w:t>
            </w:r>
          </w:p>
        </w:tc>
      </w:tr>
      <w:tr>
        <w:trPr/>
        <w:tc>
          <w:tcPr>
            <w:tcW w:w="2400" w:type="dxa"/>
            <w:tcBorders/>
            <w:vAlign w:val="center"/>
          </w:tcPr>
          <w:p>
            <w:pPr>
              <w:pStyle w:val="TableContents"/>
              <w:bidi w:val="0"/>
              <w:spacing w:before="40" w:after="40"/>
              <w:jc w:val="left"/>
              <w:rPr/>
            </w:pPr>
            <w:r>
              <w:rPr/>
              <w:t>Blob Storage</w:t>
            </w:r>
          </w:p>
        </w:tc>
        <w:tc>
          <w:tcPr>
            <w:tcW w:w="5138" w:type="dxa"/>
            <w:tcBorders/>
            <w:vAlign w:val="center"/>
          </w:tcPr>
          <w:p>
            <w:pPr>
              <w:pStyle w:val="TableContents"/>
              <w:bidi w:val="0"/>
              <w:spacing w:before="40" w:after="40"/>
              <w:jc w:val="left"/>
              <w:rPr/>
            </w:pPr>
            <w:r>
              <w:rPr/>
              <w:t>Short-term holding of photographs before transfer to NEXT3</w:t>
            </w:r>
          </w:p>
        </w:tc>
        <w:tc>
          <w:tcPr>
            <w:tcW w:w="2100" w:type="dxa"/>
            <w:tcBorders/>
            <w:vAlign w:val="center"/>
          </w:tcPr>
          <w:p>
            <w:pPr>
              <w:pStyle w:val="TableContents"/>
              <w:bidi w:val="0"/>
              <w:spacing w:before="40" w:after="40"/>
              <w:jc w:val="left"/>
              <w:rPr/>
            </w:pPr>
            <w:r>
              <w:rPr/>
              <w:t>under USD 1</w:t>
            </w:r>
          </w:p>
        </w:tc>
      </w:tr>
      <w:tr>
        <w:trPr/>
        <w:tc>
          <w:tcPr>
            <w:tcW w:w="2400" w:type="dxa"/>
            <w:tcBorders/>
            <w:vAlign w:val="center"/>
          </w:tcPr>
          <w:p>
            <w:pPr>
              <w:pStyle w:val="TableContents"/>
              <w:bidi w:val="0"/>
              <w:spacing w:before="40" w:after="40"/>
              <w:jc w:val="left"/>
              <w:rPr/>
            </w:pPr>
            <w:r>
              <w:rPr/>
              <w:t>Container Registry</w:t>
            </w:r>
          </w:p>
        </w:tc>
        <w:tc>
          <w:tcPr>
            <w:tcW w:w="5138" w:type="dxa"/>
            <w:tcBorders/>
            <w:vAlign w:val="center"/>
          </w:tcPr>
          <w:p>
            <w:pPr>
              <w:pStyle w:val="TableContents"/>
              <w:bidi w:val="0"/>
              <w:spacing w:before="40" w:after="40"/>
              <w:jc w:val="left"/>
              <w:rPr/>
            </w:pPr>
            <w:r>
              <w:rPr/>
              <w:t>Deployment artefacts</w:t>
            </w:r>
          </w:p>
        </w:tc>
        <w:tc>
          <w:tcPr>
            <w:tcW w:w="2100" w:type="dxa"/>
            <w:tcBorders/>
            <w:vAlign w:val="center"/>
          </w:tcPr>
          <w:p>
            <w:pPr>
              <w:pStyle w:val="TableContents"/>
              <w:bidi w:val="0"/>
              <w:spacing w:before="40" w:after="40"/>
              <w:jc w:val="left"/>
              <w:rPr/>
            </w:pPr>
            <w:r>
              <w:rPr/>
              <w:t>USD 5</w:t>
            </w:r>
          </w:p>
        </w:tc>
      </w:tr>
      <w:tr>
        <w:trPr/>
        <w:tc>
          <w:tcPr>
            <w:tcW w:w="2400" w:type="dxa"/>
            <w:tcBorders/>
            <w:vAlign w:val="center"/>
          </w:tcPr>
          <w:p>
            <w:pPr>
              <w:pStyle w:val="TableContents"/>
              <w:bidi w:val="0"/>
              <w:spacing w:before="40" w:after="40"/>
              <w:jc w:val="left"/>
              <w:rPr/>
            </w:pPr>
            <w:r>
              <w:rPr/>
              <w:t>Application Insights</w:t>
            </w:r>
          </w:p>
        </w:tc>
        <w:tc>
          <w:tcPr>
            <w:tcW w:w="5138" w:type="dxa"/>
            <w:tcBorders/>
            <w:vAlign w:val="center"/>
          </w:tcPr>
          <w:p>
            <w:pPr>
              <w:pStyle w:val="TableContents"/>
              <w:bidi w:val="0"/>
              <w:spacing w:before="40" w:after="40"/>
              <w:jc w:val="left"/>
              <w:rPr/>
            </w:pPr>
            <w:r>
              <w:rPr/>
              <w:t>Monitoring, error alerting and support diagnostics</w:t>
            </w:r>
          </w:p>
        </w:tc>
        <w:tc>
          <w:tcPr>
            <w:tcW w:w="2100" w:type="dxa"/>
            <w:tcBorders/>
            <w:vAlign w:val="center"/>
          </w:tcPr>
          <w:p>
            <w:pPr>
              <w:pStyle w:val="TableContents"/>
              <w:bidi w:val="0"/>
              <w:spacing w:before="40" w:after="40"/>
              <w:jc w:val="left"/>
              <w:rPr/>
            </w:pPr>
            <w:r>
              <w:rPr/>
              <w:t>USD 10</w:t>
            </w:r>
          </w:p>
        </w:tc>
      </w:tr>
      <w:tr>
        <w:trPr/>
        <w:tc>
          <w:tcPr>
            <w:tcW w:w="2400" w:type="dxa"/>
            <w:tcBorders/>
            <w:vAlign w:val="center"/>
          </w:tcPr>
          <w:p>
            <w:pPr>
              <w:pStyle w:val="TableContents"/>
              <w:bidi w:val="0"/>
              <w:spacing w:before="40" w:after="40"/>
              <w:jc w:val="left"/>
              <w:rPr>
                <w:b/>
              </w:rPr>
            </w:pPr>
            <w:r>
              <w:rPr>
                <w:b/>
              </w:rPr>
              <w:t>Total hosting</w:t>
            </w:r>
          </w:p>
        </w:tc>
        <w:tc>
          <w:tcPr>
            <w:tcW w:w="5138" w:type="dxa"/>
            <w:tcBorders/>
            <w:vAlign w:val="center"/>
          </w:tcPr>
          <w:p>
            <w:pPr>
              <w:pStyle w:val="TableContents"/>
              <w:bidi w:val="0"/>
              <w:spacing w:before="40" w:after="40"/>
              <w:jc w:val="left"/>
              <w:rPr>
                <w:sz w:val="4"/>
                <w:szCs w:val="4"/>
              </w:rPr>
            </w:pPr>
            <w:r>
              <w:rPr>
                <w:sz w:val="4"/>
                <w:szCs w:val="4"/>
              </w:rPr>
            </w:r>
          </w:p>
        </w:tc>
        <w:tc>
          <w:tcPr>
            <w:tcW w:w="2100" w:type="dxa"/>
            <w:tcBorders/>
            <w:vAlign w:val="center"/>
          </w:tcPr>
          <w:p>
            <w:pPr>
              <w:pStyle w:val="TableContents"/>
              <w:bidi w:val="0"/>
              <w:spacing w:before="40" w:after="40"/>
              <w:jc w:val="left"/>
              <w:rPr>
                <w:b/>
              </w:rPr>
            </w:pPr>
            <w:r>
              <w:rPr>
                <w:b/>
              </w:rPr>
              <w:t>USD 70 – 100</w:t>
            </w:r>
          </w:p>
        </w:tc>
      </w:tr>
    </w:tbl>
    <w:p>
      <w:pPr>
        <w:pStyle w:val="BodyText"/>
        <w:bidi w:val="0"/>
        <w:jc w:val="left"/>
        <w:rPr/>
      </w:pPr>
      <w:r>
        <w:rPr/>
        <w:t xml:space="preserve">Storage is deliberately small, and it stays small. Photographs are held only until NEXT3 confirms receipt, then removed — NEXT3 remains the system of record, exactly as it is today. Were the application to retain photographs permanently instead, storage would grow by roughly 65–70 GB every month and never stop. </w:t>
      </w:r>
      <w:r>
        <w:rPr>
          <w:b/>
        </w:rPr>
        <w:t>This assumption is worth confirming explicitly</w:t>
      </w:r>
      <w:r>
        <w:rPr/>
        <w:t xml:space="preserve"> (Q17 below), because it is the difference between a flat bill and a permanently rising one.</w:t>
      </w:r>
    </w:p>
    <w:p>
      <w:pPr>
        <w:pStyle w:val="Heading3"/>
        <w:bidi w:val="0"/>
        <w:jc w:val="left"/>
        <w:rPr/>
      </w:pPr>
      <w:r>
        <w:rPr/>
        <w:t>4.3 SMS for login — a decision required from AXA</w:t>
      </w:r>
    </w:p>
    <w:p>
      <w:pPr>
        <w:pStyle w:val="BodyText"/>
        <w:bidi w:val="0"/>
        <w:jc w:val="left"/>
        <w:rPr/>
      </w:pPr>
      <w:r>
        <w:rPr/>
        <w:t xml:space="preserve">Users log in with their mobile number and a one-time code sent by SMS, as described in the BRD. This requires a messaging account. </w:t>
      </w:r>
      <w:r>
        <w:rPr>
          <w:b/>
        </w:rPr>
        <w:t>I have deliberately not quoted a figure</w:t>
      </w:r>
      <w:r>
        <w:rPr/>
        <w:t>, because the per-message rate varies by provider and by country to a degree that any estimate would be misleading — Lebanon in particular is priced very differently across providers.</w:t>
      </w:r>
    </w:p>
    <w:tbl>
      <w:tblPr>
        <w:tblW w:w="9638" w:type="dxa"/>
        <w:jc w:val="left"/>
        <w:tblInd w:w="0" w:type="dxa"/>
        <w:tblLayout w:type="fixed"/>
        <w:tblCellMar>
          <w:top w:w="28" w:type="dxa"/>
          <w:left w:w="28" w:type="dxa"/>
          <w:bottom w:w="28" w:type="dxa"/>
          <w:right w:w="28" w:type="dxa"/>
        </w:tblCellMar>
      </w:tblPr>
      <w:tblGrid>
        <w:gridCol w:w="2600"/>
        <w:gridCol w:w="7038"/>
      </w:tblGrid>
      <w:tr>
        <w:trPr/>
        <w:tc>
          <w:tcPr>
            <w:tcW w:w="2600" w:type="dxa"/>
            <w:tcBorders/>
            <w:vAlign w:val="center"/>
          </w:tcPr>
          <w:p>
            <w:pPr>
              <w:pStyle w:val="TableHeading"/>
              <w:suppressLineNumbers/>
              <w:shd w:fill="1F3864" w:val="clear"/>
              <w:bidi w:val="0"/>
              <w:spacing w:before="40" w:after="40"/>
              <w:jc w:val="left"/>
              <w:rPr/>
            </w:pPr>
            <w:r>
              <w:rPr/>
              <w:t>Option</w:t>
            </w:r>
          </w:p>
        </w:tc>
        <w:tc>
          <w:tcPr>
            <w:tcW w:w="7038" w:type="dxa"/>
            <w:tcBorders/>
            <w:vAlign w:val="center"/>
          </w:tcPr>
          <w:p>
            <w:pPr>
              <w:pStyle w:val="TableHeading"/>
              <w:suppressLineNumbers/>
              <w:shd w:fill="1F3864" w:val="clear"/>
              <w:bidi w:val="0"/>
              <w:spacing w:before="40" w:after="40"/>
              <w:jc w:val="left"/>
              <w:rPr/>
            </w:pPr>
            <w:r>
              <w:rPr/>
              <w:t>Assessment</w:t>
            </w:r>
          </w:p>
        </w:tc>
      </w:tr>
      <w:tr>
        <w:trPr/>
        <w:tc>
          <w:tcPr>
            <w:tcW w:w="2600" w:type="dxa"/>
            <w:tcBorders/>
            <w:vAlign w:val="center"/>
          </w:tcPr>
          <w:p>
            <w:pPr>
              <w:pStyle w:val="TableContents"/>
              <w:bidi w:val="0"/>
              <w:spacing w:before="40" w:after="40"/>
              <w:jc w:val="left"/>
              <w:rPr>
                <w:b/>
              </w:rPr>
            </w:pPr>
            <w:r>
              <w:rPr>
                <w:b/>
              </w:rPr>
              <w:t>An existing AXA gateway</w:t>
            </w:r>
          </w:p>
        </w:tc>
        <w:tc>
          <w:tcPr>
            <w:tcW w:w="7038" w:type="dxa"/>
            <w:tcBorders/>
            <w:vAlign w:val="center"/>
          </w:tcPr>
          <w:p>
            <w:pPr>
              <w:pStyle w:val="TableContents"/>
              <w:bidi w:val="0"/>
              <w:spacing w:before="40" w:after="40"/>
              <w:jc w:val="left"/>
              <w:rPr/>
            </w:pPr>
            <w:r>
              <w:rPr/>
              <w:t xml:space="preserve">If AXA already holds an SMS arrangement for other systems, this is almost certainly the cheapest and fastest route, and I will integrate against it. </w:t>
            </w:r>
            <w:r>
              <w:rPr>
                <w:b/>
              </w:rPr>
              <w:t>Worth checking first.</w:t>
            </w:r>
          </w:p>
        </w:tc>
      </w:tr>
      <w:tr>
        <w:trPr/>
        <w:tc>
          <w:tcPr>
            <w:tcW w:w="2600" w:type="dxa"/>
            <w:tcBorders/>
            <w:vAlign w:val="center"/>
          </w:tcPr>
          <w:p>
            <w:pPr>
              <w:pStyle w:val="TableContents"/>
              <w:bidi w:val="0"/>
              <w:spacing w:before="40" w:after="40"/>
              <w:jc w:val="left"/>
              <w:rPr/>
            </w:pPr>
            <w:r>
              <w:rPr>
                <w:b/>
              </w:rPr>
              <w:t>Regional aggregator</w:t>
            </w:r>
            <w:r>
              <w:rPr/>
              <w:br/>
              <w:t>(e.g. Monty Mobile)</w:t>
            </w:r>
          </w:p>
        </w:tc>
        <w:tc>
          <w:tcPr>
            <w:tcW w:w="7038" w:type="dxa"/>
            <w:tcBorders/>
            <w:vAlign w:val="center"/>
          </w:tcPr>
          <w:p>
            <w:pPr>
              <w:pStyle w:val="TableContents"/>
              <w:bidi w:val="0"/>
              <w:spacing w:before="40" w:after="40"/>
              <w:jc w:val="left"/>
              <w:rPr/>
            </w:pPr>
            <w:r>
              <w:rPr/>
              <w:t>Typically the best rates for Lebanon and the wider region, and a supplier AXA may already have a commercial relationship with. My recommendation if there is no existing gateway.</w:t>
            </w:r>
          </w:p>
        </w:tc>
      </w:tr>
      <w:tr>
        <w:trPr/>
        <w:tc>
          <w:tcPr>
            <w:tcW w:w="2600" w:type="dxa"/>
            <w:tcBorders/>
            <w:vAlign w:val="center"/>
          </w:tcPr>
          <w:p>
            <w:pPr>
              <w:pStyle w:val="TableContents"/>
              <w:bidi w:val="0"/>
              <w:spacing w:before="40" w:after="40"/>
              <w:jc w:val="left"/>
              <w:rPr>
                <w:b/>
              </w:rPr>
            </w:pPr>
            <w:r>
              <w:rPr>
                <w:b/>
              </w:rPr>
              <w:t>Twilio</w:t>
            </w:r>
          </w:p>
        </w:tc>
        <w:tc>
          <w:tcPr>
            <w:tcW w:w="7038" w:type="dxa"/>
            <w:tcBorders/>
            <w:vAlign w:val="center"/>
          </w:tcPr>
          <w:p>
            <w:pPr>
              <w:pStyle w:val="TableContents"/>
              <w:bidi w:val="0"/>
              <w:spacing w:before="40" w:after="40"/>
              <w:jc w:val="left"/>
              <w:rPr/>
            </w:pPr>
            <w:r>
              <w:rPr/>
              <w:t>The most expensive per message, but the fastest to set up and the best documented. A sound choice if speed matters more than unit cost.</w:t>
            </w:r>
          </w:p>
        </w:tc>
      </w:tr>
      <w:tr>
        <w:trPr/>
        <w:tc>
          <w:tcPr>
            <w:tcW w:w="2600" w:type="dxa"/>
            <w:tcBorders/>
            <w:vAlign w:val="center"/>
          </w:tcPr>
          <w:p>
            <w:pPr>
              <w:pStyle w:val="TableContents"/>
              <w:bidi w:val="0"/>
              <w:spacing w:before="40" w:after="40"/>
              <w:jc w:val="left"/>
              <w:rPr>
                <w:b/>
              </w:rPr>
            </w:pPr>
            <w:r>
              <w:rPr>
                <w:b/>
              </w:rPr>
              <w:t>Azure Communication Services</w:t>
            </w:r>
          </w:p>
        </w:tc>
        <w:tc>
          <w:tcPr>
            <w:tcW w:w="7038" w:type="dxa"/>
            <w:tcBorders/>
            <w:vAlign w:val="center"/>
          </w:tcPr>
          <w:p>
            <w:pPr>
              <w:pStyle w:val="TableContents"/>
              <w:bidi w:val="0"/>
              <w:spacing w:before="40" w:after="40"/>
              <w:jc w:val="left"/>
              <w:rPr/>
            </w:pPr>
            <w:r>
              <w:rPr/>
              <w:t>Keeps everything on a single Azure invoice. Coverage of the target countries must be confirmed before this can be recommended.</w:t>
            </w:r>
          </w:p>
        </w:tc>
      </w:tr>
    </w:tbl>
    <w:p>
      <w:pPr>
        <w:pStyle w:val="BodyText"/>
        <w:bidi w:val="0"/>
        <w:jc w:val="left"/>
        <w:rPr/>
      </w:pPr>
      <w:r>
        <w:rPr>
          <w:b/>
        </w:rPr>
        <w:t>Please confirm which provider AXA wishes to use.</w:t>
      </w:r>
      <w:r>
        <w:rPr/>
        <w:t xml:space="preserve"> Once chosen, I will confirm the exact monthly cost against your expected user numbers and integrate accordingly. The choice affects how login is built, so it is needed in week 1.</w:t>
      </w:r>
    </w:p>
    <w:p>
      <w:pPr>
        <w:pStyle w:val="Heading3"/>
        <w:bidi w:val="0"/>
        <w:jc w:val="left"/>
        <w:rPr/>
      </w:pPr>
      <w:r>
        <w:rPr/>
        <w:t>4.4 Mobile distribution</w:t>
      </w:r>
    </w:p>
    <w:p>
      <w:pPr>
        <w:pStyle w:val="BodyText"/>
        <w:bidi w:val="0"/>
        <w:jc w:val="left"/>
        <w:rPr/>
      </w:pPr>
      <w:r>
        <w:rPr/>
        <w:t>Required only if the application is published through the public app stores. Both accounts should be held in AXA’s name, as they carry the AXA identity under which the application is published.</w:t>
      </w:r>
    </w:p>
    <w:tbl>
      <w:tblPr>
        <w:tblW w:w="9638" w:type="dxa"/>
        <w:jc w:val="left"/>
        <w:tblInd w:w="0" w:type="dxa"/>
        <w:tblLayout w:type="fixed"/>
        <w:tblCellMar>
          <w:top w:w="28" w:type="dxa"/>
          <w:left w:w="28" w:type="dxa"/>
          <w:bottom w:w="28" w:type="dxa"/>
          <w:right w:w="28" w:type="dxa"/>
        </w:tblCellMar>
      </w:tblPr>
      <w:tblGrid>
        <w:gridCol w:w="6000"/>
        <w:gridCol w:w="3638"/>
      </w:tblGrid>
      <w:tr>
        <w:trPr/>
        <w:tc>
          <w:tcPr>
            <w:tcW w:w="6000" w:type="dxa"/>
            <w:tcBorders/>
            <w:vAlign w:val="center"/>
          </w:tcPr>
          <w:p>
            <w:pPr>
              <w:pStyle w:val="TableHeading"/>
              <w:suppressLineNumbers/>
              <w:shd w:fill="1F3864" w:val="clear"/>
              <w:bidi w:val="0"/>
              <w:spacing w:before="40" w:after="40"/>
              <w:jc w:val="left"/>
              <w:rPr/>
            </w:pPr>
            <w:r>
              <w:rPr/>
              <w:t>Item</w:t>
            </w:r>
          </w:p>
        </w:tc>
        <w:tc>
          <w:tcPr>
            <w:tcW w:w="3638" w:type="dxa"/>
            <w:tcBorders/>
            <w:vAlign w:val="center"/>
          </w:tcPr>
          <w:p>
            <w:pPr>
              <w:pStyle w:val="TableHeading"/>
              <w:suppressLineNumbers/>
              <w:shd w:fill="1F3864" w:val="clear"/>
              <w:bidi w:val="0"/>
              <w:spacing w:before="40" w:after="40"/>
              <w:jc w:val="left"/>
              <w:rPr/>
            </w:pPr>
            <w:r>
              <w:rPr/>
              <w:t>Cost</w:t>
            </w:r>
          </w:p>
        </w:tc>
      </w:tr>
      <w:tr>
        <w:trPr/>
        <w:tc>
          <w:tcPr>
            <w:tcW w:w="6000" w:type="dxa"/>
            <w:tcBorders/>
            <w:vAlign w:val="center"/>
          </w:tcPr>
          <w:p>
            <w:pPr>
              <w:pStyle w:val="TableContents"/>
              <w:bidi w:val="0"/>
              <w:spacing w:before="40" w:after="40"/>
              <w:jc w:val="left"/>
              <w:rPr/>
            </w:pPr>
            <w:r>
              <w:rPr/>
              <w:t>Apple Developer Program</w:t>
            </w:r>
          </w:p>
        </w:tc>
        <w:tc>
          <w:tcPr>
            <w:tcW w:w="3638" w:type="dxa"/>
            <w:tcBorders/>
            <w:vAlign w:val="center"/>
          </w:tcPr>
          <w:p>
            <w:pPr>
              <w:pStyle w:val="TableContents"/>
              <w:bidi w:val="0"/>
              <w:spacing w:before="40" w:after="40"/>
              <w:jc w:val="left"/>
              <w:rPr/>
            </w:pPr>
            <w:r>
              <w:rPr/>
              <w:t>USD 99 per year</w:t>
            </w:r>
          </w:p>
        </w:tc>
      </w:tr>
      <w:tr>
        <w:trPr/>
        <w:tc>
          <w:tcPr>
            <w:tcW w:w="6000" w:type="dxa"/>
            <w:tcBorders/>
            <w:vAlign w:val="center"/>
          </w:tcPr>
          <w:p>
            <w:pPr>
              <w:pStyle w:val="TableContents"/>
              <w:bidi w:val="0"/>
              <w:spacing w:before="40" w:after="40"/>
              <w:jc w:val="left"/>
              <w:rPr/>
            </w:pPr>
            <w:r>
              <w:rPr/>
              <w:t>Google Play developer registration</w:t>
            </w:r>
          </w:p>
        </w:tc>
        <w:tc>
          <w:tcPr>
            <w:tcW w:w="3638" w:type="dxa"/>
            <w:tcBorders/>
            <w:vAlign w:val="center"/>
          </w:tcPr>
          <w:p>
            <w:pPr>
              <w:pStyle w:val="TableContents"/>
              <w:bidi w:val="0"/>
              <w:spacing w:before="40" w:after="40"/>
              <w:jc w:val="left"/>
              <w:rPr/>
            </w:pPr>
            <w:r>
              <w:rPr/>
              <w:t>USD 25 one-off</w:t>
            </w:r>
          </w:p>
        </w:tc>
      </w:tr>
    </w:tbl>
    <w:p>
      <w:pPr>
        <w:pStyle w:val="BodyText"/>
        <w:bidi w:val="0"/>
        <w:jc w:val="left"/>
        <w:rPr/>
      </w:pPr>
      <w:r>
        <w:rPr/>
        <w:t>If the application is instead distributed internally through AXA’s own device management, app store review cycles are avoided altogether. See section 6.</w:t>
      </w:r>
    </w:p>
    <w:p>
      <w:pPr>
        <w:pStyle w:val="Heading3"/>
        <w:bidi w:val="0"/>
        <w:jc w:val="left"/>
        <w:rPr/>
      </w:pPr>
      <w:r>
        <w:rPr/>
        <w:t>4.5 Cost in context</w:t>
      </w:r>
    </w:p>
    <w:p>
      <w:pPr>
        <w:pStyle w:val="BodyText"/>
        <w:bidi w:val="0"/>
        <w:jc w:val="left"/>
        <w:rPr/>
      </w:pPr>
      <w:r>
        <w:rPr/>
        <w:t xml:space="preserve">At the assumed volume of 3,000 claims per month, hosting works out at roughly </w:t>
      </w:r>
      <w:r>
        <w:rPr>
          <w:b/>
        </w:rPr>
        <w:t>USD 0.03 per claim</w:t>
      </w:r>
      <w:r>
        <w:rPr/>
        <w:t xml:space="preserve">, or in the region of </w:t>
      </w:r>
      <w:r>
        <w:rPr>
          <w:b/>
        </w:rPr>
        <w:t>USD 0.04 to 0.06 per claim</w:t>
      </w:r>
      <w:r>
        <w:rPr/>
        <w:t xml:space="preserve"> once messaging is included.</w:t>
      </w:r>
    </w:p>
    <w:p>
      <w:pPr>
        <w:pStyle w:val="BodyText"/>
        <w:bidi w:val="0"/>
        <w:jc w:val="left"/>
        <w:rPr/>
      </w:pPr>
      <w:r>
        <w:rPr/>
        <w:t>The relevant comparison is not the monthly total but that figure set against the cost of the process it replaces: a member of staff downloading claim emails and re-filing each photograph in NEXT3 by hand, and an expert report cycle currently running beyond two weeks. AXA is far better placed than I am to put a number on that, and it is worth doing, because it is the figure that justifies the project.</w:t>
      </w:r>
    </w:p>
    <w:p>
      <w:pPr>
        <w:pStyle w:val="Heading3"/>
        <w:bidi w:val="0"/>
        <w:jc w:val="left"/>
        <w:rPr/>
      </w:pPr>
      <w:r>
        <w:rPr/>
        <w:t>4.6 Account ownership</w:t>
      </w:r>
    </w:p>
    <w:p>
      <w:pPr>
        <w:pStyle w:val="BodyText"/>
        <w:bidi w:val="0"/>
        <w:jc w:val="left"/>
        <w:rPr/>
      </w:pPr>
      <w:r>
        <w:rPr/>
        <w:t xml:space="preserve">I ask that </w:t>
      </w:r>
      <w:r>
        <w:rPr>
          <w:b/>
        </w:rPr>
        <w:t>all third-party accounts — Azure, SMS gateway, domain and any mobile developer accounts — are opened in AXA’s name and on AXA’s payment method from the outset.</w:t>
      </w:r>
    </w:p>
    <w:p>
      <w:pPr>
        <w:pStyle w:val="BodyText"/>
        <w:bidi w:val="0"/>
        <w:jc w:val="left"/>
        <w:rPr/>
      </w:pPr>
      <w:r>
        <w:rPr/>
        <w:t>This is not about the amounts, which are small. It is that AXA should own the infrastructure the application runs on from day one rather than inheriting it at handover, and that neither side should be administering reimbursements for a USD 20 invoice. It also means nothing stops working if I am unavailable.</w:t>
      </w:r>
    </w:p>
    <w:p>
      <w:pPr>
        <w:pStyle w:val="Heading2"/>
        <w:bidi w:val="0"/>
        <w:jc w:val="left"/>
        <w:rPr/>
      </w:pPr>
      <w:r>
        <w:rPr/>
        <w:t>5. Security and governance</w:t>
      </w:r>
    </w:p>
    <w:p>
      <w:pPr>
        <w:pStyle w:val="BodyText"/>
        <w:bidi w:val="0"/>
        <w:jc w:val="left"/>
        <w:rPr/>
      </w:pPr>
      <w:r>
        <w:rPr/>
        <w:t>The BRD contains no security or data-protection requirements, although the application will hold personal data belonging to insured parties and third parties, photographs of accidents, and location data. I will apply sound practice by default. Where AXA has a mandated standard, I would rather build to it than retrofit it.</w:t>
      </w:r>
    </w:p>
    <w:tbl>
      <w:tblPr>
        <w:tblW w:w="9638" w:type="dxa"/>
        <w:jc w:val="left"/>
        <w:tblInd w:w="0" w:type="dxa"/>
        <w:tblLayout w:type="fixed"/>
        <w:tblCellMar>
          <w:top w:w="28" w:type="dxa"/>
          <w:left w:w="28" w:type="dxa"/>
          <w:bottom w:w="28" w:type="dxa"/>
          <w:right w:w="28" w:type="dxa"/>
        </w:tblCellMar>
      </w:tblPr>
      <w:tblGrid>
        <w:gridCol w:w="620"/>
        <w:gridCol w:w="7518"/>
        <w:gridCol w:w="1500"/>
      </w:tblGrid>
      <w:tr>
        <w:trPr/>
        <w:tc>
          <w:tcPr>
            <w:tcW w:w="620" w:type="dxa"/>
            <w:tcBorders/>
            <w:vAlign w:val="center"/>
          </w:tcPr>
          <w:p>
            <w:pPr>
              <w:pStyle w:val="TableHeading"/>
              <w:suppressLineNumbers/>
              <w:shd w:fill="1F3864" w:val="clear"/>
              <w:bidi w:val="0"/>
              <w:spacing w:before="40" w:after="40"/>
              <w:jc w:val="left"/>
              <w:rPr/>
            </w:pPr>
            <w:r>
              <w:rPr/>
              <w:t>#</w:t>
            </w:r>
          </w:p>
        </w:tc>
        <w:tc>
          <w:tcPr>
            <w:tcW w:w="7518" w:type="dxa"/>
            <w:tcBorders/>
            <w:vAlign w:val="center"/>
          </w:tcPr>
          <w:p>
            <w:pPr>
              <w:pStyle w:val="TableHeading"/>
              <w:suppressLineNumbers/>
              <w:shd w:fill="1F3864" w:val="clear"/>
              <w:bidi w:val="0"/>
              <w:spacing w:before="40" w:after="40"/>
              <w:jc w:val="left"/>
              <w:rPr/>
            </w:pPr>
            <w:r>
              <w:rPr/>
              <w:t>Question</w:t>
            </w:r>
          </w:p>
        </w:tc>
        <w:tc>
          <w:tcPr>
            <w:tcW w:w="1500" w:type="dxa"/>
            <w:tcBorders/>
            <w:vAlign w:val="center"/>
          </w:tcPr>
          <w:p>
            <w:pPr>
              <w:pStyle w:val="TableHeading"/>
              <w:suppressLineNumbers/>
              <w:shd w:fill="1F3864" w:val="clear"/>
              <w:bidi w:val="0"/>
              <w:spacing w:before="40" w:after="40"/>
              <w:jc w:val="left"/>
              <w:rPr/>
            </w:pPr>
            <w:r>
              <w:rPr/>
              <w:t>Priority</w:t>
            </w:r>
          </w:p>
        </w:tc>
      </w:tr>
      <w:tr>
        <w:trPr/>
        <w:tc>
          <w:tcPr>
            <w:tcW w:w="620" w:type="dxa"/>
            <w:tcBorders/>
            <w:vAlign w:val="center"/>
          </w:tcPr>
          <w:p>
            <w:pPr>
              <w:pStyle w:val="TableContents"/>
              <w:bidi w:val="0"/>
              <w:spacing w:before="40" w:after="40"/>
              <w:jc w:val="left"/>
              <w:rPr/>
            </w:pPr>
            <w:r>
              <w:rPr/>
              <w:t>Q15</w:t>
            </w:r>
          </w:p>
        </w:tc>
        <w:tc>
          <w:tcPr>
            <w:tcW w:w="7518" w:type="dxa"/>
            <w:tcBorders/>
            <w:vAlign w:val="center"/>
          </w:tcPr>
          <w:p>
            <w:pPr>
              <w:pStyle w:val="TableContents"/>
              <w:bidi w:val="0"/>
              <w:spacing w:before="40" w:after="40"/>
              <w:jc w:val="left"/>
              <w:rPr/>
            </w:pPr>
            <w:r>
              <w:rPr>
                <w:b/>
              </w:rPr>
              <w:t>Will AXA Group InfoSec review this application, and is a penetration test required? If so, on what timescale, and who arranges it?</w:t>
            </w:r>
            <w:r>
              <w:rPr/>
              <w:t xml:space="preserve"> If a security baseline or set of technical requirements applies, please provide it with your answer so the application is built to it from the start.</w:t>
            </w:r>
          </w:p>
        </w:tc>
        <w:tc>
          <w:tcPr>
            <w:tcW w:w="1500" w:type="dxa"/>
            <w:tcBorders/>
            <w:vAlign w:val="center"/>
          </w:tcPr>
          <w:p>
            <w:pPr>
              <w:pStyle w:val="TableContents"/>
              <w:bidi w:val="0"/>
              <w:spacing w:before="40" w:after="40"/>
              <w:jc w:val="left"/>
              <w:rPr>
                <w:b/>
              </w:rPr>
            </w:pPr>
            <w:r>
              <w:rPr>
                <w:b/>
              </w:rPr>
              <w:t>Immediate</w:t>
            </w:r>
          </w:p>
        </w:tc>
      </w:tr>
      <w:tr>
        <w:trPr/>
        <w:tc>
          <w:tcPr>
            <w:tcW w:w="620" w:type="dxa"/>
            <w:tcBorders/>
            <w:vAlign w:val="center"/>
          </w:tcPr>
          <w:p>
            <w:pPr>
              <w:pStyle w:val="TableContents"/>
              <w:bidi w:val="0"/>
              <w:spacing w:before="40" w:after="40"/>
              <w:jc w:val="left"/>
              <w:rPr/>
            </w:pPr>
            <w:r>
              <w:rPr/>
              <w:t>Q16</w:t>
            </w:r>
          </w:p>
        </w:tc>
        <w:tc>
          <w:tcPr>
            <w:tcW w:w="7518" w:type="dxa"/>
            <w:tcBorders/>
            <w:vAlign w:val="center"/>
          </w:tcPr>
          <w:p>
            <w:pPr>
              <w:pStyle w:val="TableContents"/>
              <w:bidi w:val="0"/>
              <w:spacing w:before="40" w:after="40"/>
              <w:jc w:val="left"/>
              <w:rPr/>
            </w:pPr>
            <w:r>
              <w:rPr/>
              <w:t>In which country may the personal data and photographs be stored? This selects the Azure region and cannot easily be changed later.</w:t>
            </w:r>
          </w:p>
        </w:tc>
        <w:tc>
          <w:tcPr>
            <w:tcW w:w="1500" w:type="dxa"/>
            <w:tcBorders/>
            <w:vAlign w:val="center"/>
          </w:tcPr>
          <w:p>
            <w:pPr>
              <w:pStyle w:val="TableContents"/>
              <w:bidi w:val="0"/>
              <w:spacing w:before="40" w:after="40"/>
              <w:jc w:val="left"/>
              <w:rPr/>
            </w:pPr>
            <w:r>
              <w:rPr/>
              <w:t>Immediate</w:t>
            </w:r>
          </w:p>
        </w:tc>
      </w:tr>
      <w:tr>
        <w:trPr/>
        <w:tc>
          <w:tcPr>
            <w:tcW w:w="620" w:type="dxa"/>
            <w:tcBorders/>
            <w:vAlign w:val="center"/>
          </w:tcPr>
          <w:p>
            <w:pPr>
              <w:pStyle w:val="TableContents"/>
              <w:bidi w:val="0"/>
              <w:spacing w:before="40" w:after="40"/>
              <w:jc w:val="left"/>
              <w:rPr/>
            </w:pPr>
            <w:r>
              <w:rPr/>
              <w:t>Q17</w:t>
            </w:r>
          </w:p>
        </w:tc>
        <w:tc>
          <w:tcPr>
            <w:tcW w:w="7518" w:type="dxa"/>
            <w:tcBorders/>
            <w:vAlign w:val="center"/>
          </w:tcPr>
          <w:p>
            <w:pPr>
              <w:pStyle w:val="TableContents"/>
              <w:bidi w:val="0"/>
              <w:spacing w:before="40" w:after="40"/>
              <w:jc w:val="left"/>
              <w:rPr/>
            </w:pPr>
            <w:r>
              <w:rPr/>
              <w:t>Is NEXT3 the permanent store for the photographs, with the application holding them only in transit? (Assumed yes — see 4.2.)</w:t>
            </w:r>
          </w:p>
        </w:tc>
        <w:tc>
          <w:tcPr>
            <w:tcW w:w="1500" w:type="dxa"/>
            <w:tcBorders/>
            <w:vAlign w:val="center"/>
          </w:tcPr>
          <w:p>
            <w:pPr>
              <w:pStyle w:val="TableContents"/>
              <w:bidi w:val="0"/>
              <w:spacing w:before="40" w:after="40"/>
              <w:jc w:val="left"/>
              <w:rPr/>
            </w:pPr>
            <w:r>
              <w:rPr/>
              <w:t>Week 1</w:t>
            </w:r>
          </w:p>
        </w:tc>
      </w:tr>
      <w:tr>
        <w:trPr/>
        <w:tc>
          <w:tcPr>
            <w:tcW w:w="620" w:type="dxa"/>
            <w:tcBorders/>
            <w:vAlign w:val="center"/>
          </w:tcPr>
          <w:p>
            <w:pPr>
              <w:pStyle w:val="TableContents"/>
              <w:bidi w:val="0"/>
              <w:spacing w:before="40" w:after="40"/>
              <w:jc w:val="left"/>
              <w:rPr/>
            </w:pPr>
            <w:r>
              <w:rPr/>
              <w:t>Q18</w:t>
            </w:r>
          </w:p>
        </w:tc>
        <w:tc>
          <w:tcPr>
            <w:tcW w:w="7518" w:type="dxa"/>
            <w:tcBorders/>
            <w:vAlign w:val="center"/>
          </w:tcPr>
          <w:p>
            <w:pPr>
              <w:pStyle w:val="TableContents"/>
              <w:bidi w:val="0"/>
              <w:spacing w:before="40" w:after="40"/>
              <w:jc w:val="left"/>
              <w:rPr/>
            </w:pPr>
            <w:r>
              <w:rPr/>
              <w:t>Does AXA mandate a particular database platform for applications in its tenant, given that AXA’s team will support this after handover? Azure SQL Database is currently assumed.</w:t>
            </w:r>
          </w:p>
        </w:tc>
        <w:tc>
          <w:tcPr>
            <w:tcW w:w="1500" w:type="dxa"/>
            <w:tcBorders/>
            <w:vAlign w:val="center"/>
          </w:tcPr>
          <w:p>
            <w:pPr>
              <w:pStyle w:val="TableContents"/>
              <w:bidi w:val="0"/>
              <w:spacing w:before="40" w:after="40"/>
              <w:jc w:val="left"/>
              <w:rPr/>
            </w:pPr>
            <w:r>
              <w:rPr/>
              <w:t>Week 1</w:t>
            </w:r>
          </w:p>
        </w:tc>
      </w:tr>
      <w:tr>
        <w:trPr/>
        <w:tc>
          <w:tcPr>
            <w:tcW w:w="620" w:type="dxa"/>
            <w:tcBorders/>
            <w:vAlign w:val="center"/>
          </w:tcPr>
          <w:p>
            <w:pPr>
              <w:pStyle w:val="TableContents"/>
              <w:bidi w:val="0"/>
              <w:spacing w:before="40" w:after="40"/>
              <w:jc w:val="left"/>
              <w:rPr/>
            </w:pPr>
            <w:r>
              <w:rPr/>
              <w:t>Q19</w:t>
            </w:r>
          </w:p>
        </w:tc>
        <w:tc>
          <w:tcPr>
            <w:tcW w:w="7518" w:type="dxa"/>
            <w:tcBorders/>
            <w:vAlign w:val="center"/>
          </w:tcPr>
          <w:p>
            <w:pPr>
              <w:pStyle w:val="TableContents"/>
              <w:bidi w:val="0"/>
              <w:spacing w:before="40" w:after="40"/>
              <w:jc w:val="left"/>
              <w:rPr/>
            </w:pPr>
            <w:r>
              <w:rPr/>
              <w:t>Can Contributor access to a single Azure resource group be granted? In a governed tenant this is often slower to obtain than the NEXT3 credentials, and it is on the critical path.</w:t>
            </w:r>
          </w:p>
        </w:tc>
        <w:tc>
          <w:tcPr>
            <w:tcW w:w="1500" w:type="dxa"/>
            <w:tcBorders/>
            <w:vAlign w:val="center"/>
          </w:tcPr>
          <w:p>
            <w:pPr>
              <w:pStyle w:val="TableContents"/>
              <w:bidi w:val="0"/>
              <w:spacing w:before="40" w:after="40"/>
              <w:jc w:val="left"/>
              <w:rPr/>
            </w:pPr>
            <w:r>
              <w:rPr/>
              <w:t>Week 1</w:t>
            </w:r>
          </w:p>
        </w:tc>
      </w:tr>
      <w:tr>
        <w:trPr/>
        <w:tc>
          <w:tcPr>
            <w:tcW w:w="620" w:type="dxa"/>
            <w:tcBorders/>
            <w:vAlign w:val="center"/>
          </w:tcPr>
          <w:p>
            <w:pPr>
              <w:pStyle w:val="TableContents"/>
              <w:bidi w:val="0"/>
              <w:spacing w:before="40" w:after="40"/>
              <w:jc w:val="left"/>
              <w:rPr/>
            </w:pPr>
            <w:r>
              <w:rPr/>
              <w:t>Q20</w:t>
            </w:r>
          </w:p>
        </w:tc>
        <w:tc>
          <w:tcPr>
            <w:tcW w:w="7518" w:type="dxa"/>
            <w:tcBorders/>
            <w:vAlign w:val="center"/>
          </w:tcPr>
          <w:p>
            <w:pPr>
              <w:pStyle w:val="TableContents"/>
              <w:bidi w:val="0"/>
              <w:spacing w:before="40" w:after="40"/>
              <w:jc w:val="left"/>
              <w:rPr/>
            </w:pPr>
            <w:r>
              <w:rPr/>
              <w:t>How long must claim data and photographs be retained in the application, and what audit record does AXA require of who uploaded which photograph and when? Not in the BRD, and normally required in a claims dispute.</w:t>
            </w:r>
          </w:p>
        </w:tc>
        <w:tc>
          <w:tcPr>
            <w:tcW w:w="1500" w:type="dxa"/>
            <w:tcBorders/>
            <w:vAlign w:val="center"/>
          </w:tcPr>
          <w:p>
            <w:pPr>
              <w:pStyle w:val="TableContents"/>
              <w:bidi w:val="0"/>
              <w:spacing w:before="40" w:after="40"/>
              <w:jc w:val="left"/>
              <w:rPr/>
            </w:pPr>
            <w:r>
              <w:rPr/>
              <w:t>Week 3</w:t>
            </w:r>
          </w:p>
        </w:tc>
      </w:tr>
    </w:tbl>
    <w:p>
      <w:pPr>
        <w:pStyle w:val="Heading2"/>
        <w:bidi w:val="0"/>
        <w:jc w:val="left"/>
        <w:rPr/>
      </w:pPr>
      <w:r>
        <w:rPr/>
        <w:t>6. Mobile delivery</w:t>
      </w:r>
    </w:p>
    <w:p>
      <w:pPr>
        <w:pStyle w:val="BodyText"/>
        <w:bidi w:val="0"/>
        <w:jc w:val="left"/>
        <w:rPr/>
      </w:pPr>
      <w:r>
        <w:rPr/>
        <w:t>The BRD requires an application installed on the phones of the AXA expert network, and usable in a browser on a PC. Both are covered. Three answers shape how it is delivered and tested.</w:t>
      </w:r>
    </w:p>
    <w:tbl>
      <w:tblPr>
        <w:tblW w:w="9638" w:type="dxa"/>
        <w:jc w:val="left"/>
        <w:tblInd w:w="0" w:type="dxa"/>
        <w:tblLayout w:type="fixed"/>
        <w:tblCellMar>
          <w:top w:w="28" w:type="dxa"/>
          <w:left w:w="28" w:type="dxa"/>
          <w:bottom w:w="28" w:type="dxa"/>
          <w:right w:w="28" w:type="dxa"/>
        </w:tblCellMar>
      </w:tblPr>
      <w:tblGrid>
        <w:gridCol w:w="620"/>
        <w:gridCol w:w="5518"/>
        <w:gridCol w:w="3500"/>
      </w:tblGrid>
      <w:tr>
        <w:trPr/>
        <w:tc>
          <w:tcPr>
            <w:tcW w:w="620" w:type="dxa"/>
            <w:tcBorders/>
            <w:vAlign w:val="center"/>
          </w:tcPr>
          <w:p>
            <w:pPr>
              <w:pStyle w:val="TableHeading"/>
              <w:suppressLineNumbers/>
              <w:shd w:fill="1F3864" w:val="clear"/>
              <w:bidi w:val="0"/>
              <w:spacing w:before="40" w:after="40"/>
              <w:jc w:val="left"/>
              <w:rPr/>
            </w:pPr>
            <w:r>
              <w:rPr/>
              <w:t>#</w:t>
            </w:r>
          </w:p>
        </w:tc>
        <w:tc>
          <w:tcPr>
            <w:tcW w:w="5518" w:type="dxa"/>
            <w:tcBorders/>
            <w:vAlign w:val="center"/>
          </w:tcPr>
          <w:p>
            <w:pPr>
              <w:pStyle w:val="TableHeading"/>
              <w:suppressLineNumbers/>
              <w:shd w:fill="1F3864" w:val="clear"/>
              <w:bidi w:val="0"/>
              <w:spacing w:before="40" w:after="40"/>
              <w:jc w:val="left"/>
              <w:rPr/>
            </w:pPr>
            <w:r>
              <w:rPr/>
              <w:t>Question</w:t>
            </w:r>
          </w:p>
        </w:tc>
        <w:tc>
          <w:tcPr>
            <w:tcW w:w="3500" w:type="dxa"/>
            <w:tcBorders/>
            <w:vAlign w:val="center"/>
          </w:tcPr>
          <w:p>
            <w:pPr>
              <w:pStyle w:val="TableHeading"/>
              <w:suppressLineNumbers/>
              <w:shd w:fill="1F3864" w:val="clear"/>
              <w:bidi w:val="0"/>
              <w:spacing w:before="40" w:after="40"/>
              <w:jc w:val="left"/>
              <w:rPr/>
            </w:pPr>
            <w:r>
              <w:rPr/>
              <w:t>Why it matters</w:t>
            </w:r>
          </w:p>
        </w:tc>
      </w:tr>
      <w:tr>
        <w:trPr/>
        <w:tc>
          <w:tcPr>
            <w:tcW w:w="620" w:type="dxa"/>
            <w:tcBorders/>
            <w:vAlign w:val="center"/>
          </w:tcPr>
          <w:p>
            <w:pPr>
              <w:pStyle w:val="TableContents"/>
              <w:bidi w:val="0"/>
              <w:spacing w:before="40" w:after="40"/>
              <w:jc w:val="left"/>
              <w:rPr/>
            </w:pPr>
            <w:r>
              <w:rPr/>
              <w:t>Q21</w:t>
            </w:r>
          </w:p>
        </w:tc>
        <w:tc>
          <w:tcPr>
            <w:tcW w:w="5518" w:type="dxa"/>
            <w:tcBorders/>
            <w:vAlign w:val="center"/>
          </w:tcPr>
          <w:p>
            <w:pPr>
              <w:pStyle w:val="TableContents"/>
              <w:bidi w:val="0"/>
              <w:spacing w:before="40" w:after="40"/>
              <w:jc w:val="left"/>
              <w:rPr/>
            </w:pPr>
            <w:r>
              <w:rPr/>
              <w:t>Roughly what proportion of the expert and garage network uses Android, and what proportion iPhone?</w:t>
            </w:r>
          </w:p>
        </w:tc>
        <w:tc>
          <w:tcPr>
            <w:tcW w:w="3500" w:type="dxa"/>
            <w:tcBorders/>
            <w:vAlign w:val="center"/>
          </w:tcPr>
          <w:p>
            <w:pPr>
              <w:pStyle w:val="TableContents"/>
              <w:bidi w:val="0"/>
              <w:spacing w:before="40" w:after="40"/>
              <w:jc w:val="left"/>
              <w:rPr/>
            </w:pPr>
            <w:r>
              <w:rPr/>
              <w:t>Notification delivery and installation behave differently on the two platforms. If the network is predominantly Android, delivery is materially simpler and faster.</w:t>
            </w:r>
          </w:p>
        </w:tc>
      </w:tr>
      <w:tr>
        <w:trPr/>
        <w:tc>
          <w:tcPr>
            <w:tcW w:w="620" w:type="dxa"/>
            <w:tcBorders/>
            <w:vAlign w:val="center"/>
          </w:tcPr>
          <w:p>
            <w:pPr>
              <w:pStyle w:val="TableContents"/>
              <w:bidi w:val="0"/>
              <w:spacing w:before="40" w:after="40"/>
              <w:jc w:val="left"/>
              <w:rPr/>
            </w:pPr>
            <w:r>
              <w:rPr/>
              <w:t>Q22</w:t>
            </w:r>
          </w:p>
        </w:tc>
        <w:tc>
          <w:tcPr>
            <w:tcW w:w="5518" w:type="dxa"/>
            <w:tcBorders/>
            <w:vAlign w:val="center"/>
          </w:tcPr>
          <w:p>
            <w:pPr>
              <w:pStyle w:val="TableContents"/>
              <w:bidi w:val="0"/>
              <w:spacing w:before="40" w:after="40"/>
              <w:jc w:val="left"/>
              <w:rPr/>
            </w:pPr>
            <w:r>
              <w:rPr/>
              <w:t>Should the application be published on the public App Store and Play Store, or distributed internally through AXA’s device management?</w:t>
            </w:r>
          </w:p>
        </w:tc>
        <w:tc>
          <w:tcPr>
            <w:tcW w:w="3500" w:type="dxa"/>
            <w:tcBorders/>
            <w:vAlign w:val="center"/>
          </w:tcPr>
          <w:p>
            <w:pPr>
              <w:pStyle w:val="TableContents"/>
              <w:bidi w:val="0"/>
              <w:spacing w:before="40" w:after="40"/>
              <w:jc w:val="left"/>
              <w:rPr/>
            </w:pPr>
            <w:r>
              <w:rPr/>
              <w:t>Internal distribution removes store review cycles entirely, which is usually the better fit for a controlled network of experts and garages.</w:t>
            </w:r>
          </w:p>
        </w:tc>
      </w:tr>
      <w:tr>
        <w:trPr/>
        <w:tc>
          <w:tcPr>
            <w:tcW w:w="620" w:type="dxa"/>
            <w:tcBorders/>
            <w:vAlign w:val="center"/>
          </w:tcPr>
          <w:p>
            <w:pPr>
              <w:pStyle w:val="TableContents"/>
              <w:bidi w:val="0"/>
              <w:spacing w:before="40" w:after="40"/>
              <w:jc w:val="left"/>
              <w:rPr/>
            </w:pPr>
            <w:r>
              <w:rPr/>
              <w:t>Q23</w:t>
            </w:r>
          </w:p>
        </w:tc>
        <w:tc>
          <w:tcPr>
            <w:tcW w:w="5518" w:type="dxa"/>
            <w:tcBorders/>
            <w:vAlign w:val="center"/>
          </w:tcPr>
          <w:p>
            <w:pPr>
              <w:pStyle w:val="TableContents"/>
              <w:bidi w:val="0"/>
              <w:spacing w:before="40" w:after="40"/>
              <w:jc w:val="left"/>
              <w:rPr/>
            </w:pPr>
            <w:r>
              <w:rPr/>
              <w:t>Does AXA already hold an Apple Developer or Apple Enterprise account?</w:t>
            </w:r>
          </w:p>
        </w:tc>
        <w:tc>
          <w:tcPr>
            <w:tcW w:w="3500" w:type="dxa"/>
            <w:tcBorders/>
            <w:vAlign w:val="center"/>
          </w:tcPr>
          <w:p>
            <w:pPr>
              <w:pStyle w:val="TableContents"/>
              <w:bidi w:val="0"/>
              <w:spacing w:before="40" w:after="40"/>
              <w:jc w:val="left"/>
              <w:rPr/>
            </w:pPr>
            <w:r>
              <w:rPr/>
              <w:t>If not, obtaining one is a corporate process that can take several weeks, and should be started now rather than in week 6.</w:t>
            </w:r>
          </w:p>
        </w:tc>
      </w:tr>
    </w:tbl>
    <w:p>
      <w:pPr>
        <w:pStyle w:val="Heading2"/>
        <w:bidi w:val="0"/>
        <w:jc w:val="left"/>
        <w:rPr/>
      </w:pPr>
      <w:r>
        <w:rPr/>
        <w:t>7. Remaining questions from the BRD</w:t>
      </w:r>
    </w:p>
    <w:p>
      <w:pPr>
        <w:pStyle w:val="BodyText"/>
        <w:bidi w:val="0"/>
        <w:jc w:val="left"/>
        <w:rPr/>
      </w:pPr>
      <w:r>
        <w:rPr/>
        <w:t>Recorded for completeness. None blocks the start of development, but each will need an answer before the feature it concerns can be completed, and left unanswered they will surface during acceptance testing.</w:t>
      </w:r>
    </w:p>
    <w:tbl>
      <w:tblPr>
        <w:tblW w:w="9638" w:type="dxa"/>
        <w:jc w:val="left"/>
        <w:tblInd w:w="0" w:type="dxa"/>
        <w:tblLayout w:type="fixed"/>
        <w:tblCellMar>
          <w:top w:w="28" w:type="dxa"/>
          <w:left w:w="28" w:type="dxa"/>
          <w:bottom w:w="28" w:type="dxa"/>
          <w:right w:w="28" w:type="dxa"/>
        </w:tblCellMar>
      </w:tblPr>
      <w:tblGrid>
        <w:gridCol w:w="620"/>
        <w:gridCol w:w="7218"/>
        <w:gridCol w:w="1800"/>
      </w:tblGrid>
      <w:tr>
        <w:trPr/>
        <w:tc>
          <w:tcPr>
            <w:tcW w:w="620" w:type="dxa"/>
            <w:tcBorders/>
            <w:vAlign w:val="center"/>
          </w:tcPr>
          <w:p>
            <w:pPr>
              <w:pStyle w:val="TableHeading"/>
              <w:suppressLineNumbers/>
              <w:shd w:fill="1F3864" w:val="clear"/>
              <w:bidi w:val="0"/>
              <w:spacing w:before="40" w:after="40"/>
              <w:jc w:val="left"/>
              <w:rPr/>
            </w:pPr>
            <w:r>
              <w:rPr/>
              <w:t>#</w:t>
            </w:r>
          </w:p>
        </w:tc>
        <w:tc>
          <w:tcPr>
            <w:tcW w:w="7218" w:type="dxa"/>
            <w:tcBorders/>
            <w:vAlign w:val="center"/>
          </w:tcPr>
          <w:p>
            <w:pPr>
              <w:pStyle w:val="TableHeading"/>
              <w:suppressLineNumbers/>
              <w:shd w:fill="1F3864" w:val="clear"/>
              <w:bidi w:val="0"/>
              <w:spacing w:before="40" w:after="40"/>
              <w:jc w:val="left"/>
              <w:rPr/>
            </w:pPr>
            <w:r>
              <w:rPr/>
              <w:t>Question</w:t>
            </w:r>
          </w:p>
        </w:tc>
        <w:tc>
          <w:tcPr>
            <w:tcW w:w="1800" w:type="dxa"/>
            <w:tcBorders/>
            <w:vAlign w:val="center"/>
          </w:tcPr>
          <w:p>
            <w:pPr>
              <w:pStyle w:val="TableHeading"/>
              <w:suppressLineNumbers/>
              <w:shd w:fill="1F3864" w:val="clear"/>
              <w:bidi w:val="0"/>
              <w:spacing w:before="40" w:after="40"/>
              <w:jc w:val="left"/>
              <w:rPr/>
            </w:pPr>
            <w:r>
              <w:rPr/>
              <w:t>Needed by</w:t>
            </w:r>
          </w:p>
        </w:tc>
      </w:tr>
      <w:tr>
        <w:trPr/>
        <w:tc>
          <w:tcPr>
            <w:tcW w:w="620" w:type="dxa"/>
            <w:tcBorders/>
            <w:vAlign w:val="center"/>
          </w:tcPr>
          <w:p>
            <w:pPr>
              <w:pStyle w:val="TableContents"/>
              <w:bidi w:val="0"/>
              <w:spacing w:before="40" w:after="40"/>
              <w:jc w:val="left"/>
              <w:rPr/>
            </w:pPr>
            <w:r>
              <w:rPr/>
              <w:t>Q24</w:t>
            </w:r>
          </w:p>
        </w:tc>
        <w:tc>
          <w:tcPr>
            <w:tcW w:w="7218" w:type="dxa"/>
            <w:tcBorders/>
            <w:vAlign w:val="center"/>
          </w:tcPr>
          <w:p>
            <w:pPr>
              <w:pStyle w:val="TableContents"/>
              <w:bidi w:val="0"/>
              <w:spacing w:before="40" w:after="40"/>
              <w:jc w:val="left"/>
              <w:rPr/>
            </w:pPr>
            <w:r>
              <w:rPr/>
              <w:t>The email routing table for the broker flow — which AXA recipient receives each insurance type. The actual list is required.</w:t>
            </w:r>
          </w:p>
        </w:tc>
        <w:tc>
          <w:tcPr>
            <w:tcW w:w="1800" w:type="dxa"/>
            <w:tcBorders/>
            <w:vAlign w:val="center"/>
          </w:tcPr>
          <w:p>
            <w:pPr>
              <w:pStyle w:val="TableContents"/>
              <w:bidi w:val="0"/>
              <w:spacing w:before="40" w:after="40"/>
              <w:jc w:val="left"/>
              <w:rPr/>
            </w:pPr>
            <w:r>
              <w:rPr/>
              <w:t>Week 4</w:t>
            </w:r>
          </w:p>
        </w:tc>
      </w:tr>
      <w:tr>
        <w:trPr/>
        <w:tc>
          <w:tcPr>
            <w:tcW w:w="620" w:type="dxa"/>
            <w:tcBorders/>
            <w:vAlign w:val="center"/>
          </w:tcPr>
          <w:p>
            <w:pPr>
              <w:pStyle w:val="TableContents"/>
              <w:bidi w:val="0"/>
              <w:spacing w:before="40" w:after="40"/>
              <w:jc w:val="left"/>
              <w:rPr/>
            </w:pPr>
            <w:r>
              <w:rPr/>
              <w:t>Q25</w:t>
            </w:r>
          </w:p>
        </w:tc>
        <w:tc>
          <w:tcPr>
            <w:tcW w:w="7218" w:type="dxa"/>
            <w:tcBorders/>
            <w:vAlign w:val="center"/>
          </w:tcPr>
          <w:p>
            <w:pPr>
              <w:pStyle w:val="TableContents"/>
              <w:bidi w:val="0"/>
              <w:spacing w:before="40" w:after="40"/>
              <w:jc w:val="left"/>
              <w:rPr/>
            </w:pPr>
            <w:r>
              <w:rPr/>
              <w:t xml:space="preserve">The full list of insurance types. The BRD gives </w:t>
            </w:r>
            <w:r>
              <w:rPr>
                <w:i/>
              </w:rPr>
              <w:t>MOTOR ALL RISK, MOTOR TOTAL LOSS, etc.</w:t>
            </w:r>
          </w:p>
        </w:tc>
        <w:tc>
          <w:tcPr>
            <w:tcW w:w="1800" w:type="dxa"/>
            <w:tcBorders/>
            <w:vAlign w:val="center"/>
          </w:tcPr>
          <w:p>
            <w:pPr>
              <w:pStyle w:val="TableContents"/>
              <w:bidi w:val="0"/>
              <w:spacing w:before="40" w:after="40"/>
              <w:jc w:val="left"/>
              <w:rPr/>
            </w:pPr>
            <w:r>
              <w:rPr/>
              <w:t>Week 4</w:t>
            </w:r>
          </w:p>
        </w:tc>
      </w:tr>
      <w:tr>
        <w:trPr/>
        <w:tc>
          <w:tcPr>
            <w:tcW w:w="620" w:type="dxa"/>
            <w:tcBorders/>
            <w:vAlign w:val="center"/>
          </w:tcPr>
          <w:p>
            <w:pPr>
              <w:pStyle w:val="TableContents"/>
              <w:bidi w:val="0"/>
              <w:spacing w:before="40" w:after="40"/>
              <w:jc w:val="left"/>
              <w:rPr/>
            </w:pPr>
            <w:r>
              <w:rPr/>
              <w:t>Q26</w:t>
            </w:r>
          </w:p>
        </w:tc>
        <w:tc>
          <w:tcPr>
            <w:tcW w:w="7218" w:type="dxa"/>
            <w:tcBorders/>
            <w:vAlign w:val="center"/>
          </w:tcPr>
          <w:p>
            <w:pPr>
              <w:pStyle w:val="TableContents"/>
              <w:bidi w:val="0"/>
              <w:spacing w:before="40" w:after="40"/>
              <w:jc w:val="left"/>
              <w:rPr/>
            </w:pPr>
            <w:r>
              <w:rPr/>
              <w:t>Broker IRIS codes — what they are, and where the list comes from.</w:t>
            </w:r>
          </w:p>
        </w:tc>
        <w:tc>
          <w:tcPr>
            <w:tcW w:w="1800" w:type="dxa"/>
            <w:tcBorders/>
            <w:vAlign w:val="center"/>
          </w:tcPr>
          <w:p>
            <w:pPr>
              <w:pStyle w:val="TableContents"/>
              <w:bidi w:val="0"/>
              <w:spacing w:before="40" w:after="40"/>
              <w:jc w:val="left"/>
              <w:rPr/>
            </w:pPr>
            <w:r>
              <w:rPr/>
              <w:t>Week 4</w:t>
            </w:r>
          </w:p>
        </w:tc>
      </w:tr>
      <w:tr>
        <w:trPr/>
        <w:tc>
          <w:tcPr>
            <w:tcW w:w="620" w:type="dxa"/>
            <w:tcBorders/>
            <w:vAlign w:val="center"/>
          </w:tcPr>
          <w:p>
            <w:pPr>
              <w:pStyle w:val="TableContents"/>
              <w:bidi w:val="0"/>
              <w:spacing w:before="40" w:after="40"/>
              <w:jc w:val="left"/>
              <w:rPr/>
            </w:pPr>
            <w:r>
              <w:rPr/>
              <w:t>Q27</w:t>
            </w:r>
          </w:p>
        </w:tc>
        <w:tc>
          <w:tcPr>
            <w:tcW w:w="7218" w:type="dxa"/>
            <w:tcBorders/>
            <w:vAlign w:val="center"/>
          </w:tcPr>
          <w:p>
            <w:pPr>
              <w:pStyle w:val="TableContents"/>
              <w:bidi w:val="0"/>
              <w:spacing w:before="40" w:after="40"/>
              <w:jc w:val="left"/>
              <w:rPr/>
            </w:pPr>
            <w:r>
              <w:rPr/>
              <w:t xml:space="preserve">The BRD requires that </w:t>
            </w:r>
            <w:r>
              <w:rPr>
                <w:i/>
              </w:rPr>
              <w:t>image visibility and voice clarity must be ensured</w:t>
            </w:r>
            <w:r>
              <w:rPr/>
              <w:t>. Proposed interpretation: the app checks resolution and sharpness on the device, warns the user and offers a retake. A practical check, not artificial-intelligence image assessment. Please confirm this is acceptable.</w:t>
            </w:r>
          </w:p>
        </w:tc>
        <w:tc>
          <w:tcPr>
            <w:tcW w:w="1800" w:type="dxa"/>
            <w:tcBorders/>
            <w:vAlign w:val="center"/>
          </w:tcPr>
          <w:p>
            <w:pPr>
              <w:pStyle w:val="TableContents"/>
              <w:bidi w:val="0"/>
              <w:spacing w:before="40" w:after="40"/>
              <w:jc w:val="left"/>
              <w:rPr/>
            </w:pPr>
            <w:r>
              <w:rPr/>
              <w:t>Week 3</w:t>
            </w:r>
          </w:p>
        </w:tc>
      </w:tr>
      <w:tr>
        <w:trPr/>
        <w:tc>
          <w:tcPr>
            <w:tcW w:w="620" w:type="dxa"/>
            <w:tcBorders/>
            <w:vAlign w:val="center"/>
          </w:tcPr>
          <w:p>
            <w:pPr>
              <w:pStyle w:val="TableContents"/>
              <w:bidi w:val="0"/>
              <w:spacing w:before="40" w:after="40"/>
              <w:jc w:val="left"/>
              <w:rPr/>
            </w:pPr>
            <w:r>
              <w:rPr/>
              <w:t>Q28</w:t>
            </w:r>
          </w:p>
        </w:tc>
        <w:tc>
          <w:tcPr>
            <w:tcW w:w="7218" w:type="dxa"/>
            <w:tcBorders/>
            <w:vAlign w:val="center"/>
          </w:tcPr>
          <w:p>
            <w:pPr>
              <w:pStyle w:val="TableContents"/>
              <w:bidi w:val="0"/>
              <w:spacing w:before="40" w:after="40"/>
              <w:jc w:val="left"/>
              <w:rPr/>
            </w:pPr>
            <w:r>
              <w:rPr/>
              <w:t>The BRD requires approval and comments to be captured as an image. Proposed interpretation: the comment block is rendered to an image and filed in the NEXT3 Survey folder. Please confirm.</w:t>
            </w:r>
          </w:p>
        </w:tc>
        <w:tc>
          <w:tcPr>
            <w:tcW w:w="1800" w:type="dxa"/>
            <w:tcBorders/>
            <w:vAlign w:val="center"/>
          </w:tcPr>
          <w:p>
            <w:pPr>
              <w:pStyle w:val="TableContents"/>
              <w:bidi w:val="0"/>
              <w:spacing w:before="40" w:after="40"/>
              <w:jc w:val="left"/>
              <w:rPr/>
            </w:pPr>
            <w:r>
              <w:rPr/>
              <w:t>Week 3</w:t>
            </w:r>
          </w:p>
        </w:tc>
      </w:tr>
      <w:tr>
        <w:trPr/>
        <w:tc>
          <w:tcPr>
            <w:tcW w:w="620" w:type="dxa"/>
            <w:tcBorders/>
            <w:vAlign w:val="center"/>
          </w:tcPr>
          <w:p>
            <w:pPr>
              <w:pStyle w:val="TableContents"/>
              <w:bidi w:val="0"/>
              <w:spacing w:before="40" w:after="40"/>
              <w:jc w:val="left"/>
              <w:rPr/>
            </w:pPr>
            <w:r>
              <w:rPr/>
              <w:t>Q29</w:t>
            </w:r>
          </w:p>
        </w:tc>
        <w:tc>
          <w:tcPr>
            <w:tcW w:w="7218" w:type="dxa"/>
            <w:tcBorders/>
            <w:vAlign w:val="center"/>
          </w:tcPr>
          <w:p>
            <w:pPr>
              <w:pStyle w:val="TableContents"/>
              <w:bidi w:val="0"/>
              <w:spacing w:before="40" w:after="40"/>
              <w:jc w:val="left"/>
              <w:rPr/>
            </w:pPr>
            <w:r>
              <w:rPr/>
              <w:t>Is English-only acceptable for this phase? Arabic with right-to-left layout is a substantial piece of work and is not currently included.</w:t>
            </w:r>
          </w:p>
        </w:tc>
        <w:tc>
          <w:tcPr>
            <w:tcW w:w="1800" w:type="dxa"/>
            <w:tcBorders/>
            <w:vAlign w:val="center"/>
          </w:tcPr>
          <w:p>
            <w:pPr>
              <w:pStyle w:val="TableContents"/>
              <w:bidi w:val="0"/>
              <w:spacing w:before="40" w:after="40"/>
              <w:jc w:val="left"/>
              <w:rPr/>
            </w:pPr>
            <w:r>
              <w:rPr/>
              <w:t>Week 2</w:t>
            </w:r>
          </w:p>
        </w:tc>
      </w:tr>
      <w:tr>
        <w:trPr/>
        <w:tc>
          <w:tcPr>
            <w:tcW w:w="620" w:type="dxa"/>
            <w:tcBorders/>
            <w:vAlign w:val="center"/>
          </w:tcPr>
          <w:p>
            <w:pPr>
              <w:pStyle w:val="TableContents"/>
              <w:bidi w:val="0"/>
              <w:spacing w:before="40" w:after="40"/>
              <w:jc w:val="left"/>
              <w:rPr/>
            </w:pPr>
            <w:r>
              <w:rPr/>
              <w:t>Q30</w:t>
            </w:r>
          </w:p>
        </w:tc>
        <w:tc>
          <w:tcPr>
            <w:tcW w:w="7218" w:type="dxa"/>
            <w:tcBorders/>
            <w:vAlign w:val="center"/>
          </w:tcPr>
          <w:p>
            <w:pPr>
              <w:pStyle w:val="TableContents"/>
              <w:bidi w:val="0"/>
              <w:spacing w:before="40" w:after="40"/>
              <w:jc w:val="left"/>
              <w:rPr/>
            </w:pPr>
            <w:r>
              <w:rPr/>
              <w:t>Voice notes: maximum duration and accepted format?</w:t>
            </w:r>
          </w:p>
        </w:tc>
        <w:tc>
          <w:tcPr>
            <w:tcW w:w="1800" w:type="dxa"/>
            <w:tcBorders/>
            <w:vAlign w:val="center"/>
          </w:tcPr>
          <w:p>
            <w:pPr>
              <w:pStyle w:val="TableContents"/>
              <w:bidi w:val="0"/>
              <w:spacing w:before="40" w:after="40"/>
              <w:jc w:val="left"/>
              <w:rPr/>
            </w:pPr>
            <w:r>
              <w:rPr/>
              <w:t>Week 3</w:t>
            </w:r>
          </w:p>
        </w:tc>
      </w:tr>
      <w:tr>
        <w:trPr/>
        <w:tc>
          <w:tcPr>
            <w:tcW w:w="620" w:type="dxa"/>
            <w:tcBorders/>
            <w:vAlign w:val="center"/>
          </w:tcPr>
          <w:p>
            <w:pPr>
              <w:pStyle w:val="TableContents"/>
              <w:bidi w:val="0"/>
              <w:spacing w:before="40" w:after="40"/>
              <w:jc w:val="left"/>
              <w:rPr/>
            </w:pPr>
            <w:r>
              <w:rPr/>
              <w:t>Q31</w:t>
            </w:r>
          </w:p>
        </w:tc>
        <w:tc>
          <w:tcPr>
            <w:tcW w:w="7218" w:type="dxa"/>
            <w:tcBorders/>
            <w:vAlign w:val="center"/>
          </w:tcPr>
          <w:p>
            <w:pPr>
              <w:pStyle w:val="TableContents"/>
              <w:bidi w:val="0"/>
              <w:spacing w:before="40" w:after="40"/>
              <w:jc w:val="left"/>
              <w:rPr/>
            </w:pPr>
            <w:r>
              <w:rPr/>
              <w:t>Acceptance testing: who participates, when are they available, and what constitutes acceptance?</w:t>
            </w:r>
          </w:p>
        </w:tc>
        <w:tc>
          <w:tcPr>
            <w:tcW w:w="1800" w:type="dxa"/>
            <w:tcBorders/>
            <w:vAlign w:val="center"/>
          </w:tcPr>
          <w:p>
            <w:pPr>
              <w:pStyle w:val="TableContents"/>
              <w:bidi w:val="0"/>
              <w:spacing w:before="40" w:after="40"/>
              <w:jc w:val="left"/>
              <w:rPr/>
            </w:pPr>
            <w:r>
              <w:rPr/>
              <w:t>Week 5</w:t>
            </w:r>
          </w:p>
        </w:tc>
      </w:tr>
      <w:tr>
        <w:trPr/>
        <w:tc>
          <w:tcPr>
            <w:tcW w:w="620" w:type="dxa"/>
            <w:tcBorders/>
            <w:vAlign w:val="center"/>
          </w:tcPr>
          <w:p>
            <w:pPr>
              <w:pStyle w:val="TableContents"/>
              <w:bidi w:val="0"/>
              <w:spacing w:before="40" w:after="40"/>
              <w:jc w:val="left"/>
              <w:rPr/>
            </w:pPr>
            <w:r>
              <w:rPr/>
              <w:t>Q32</w:t>
            </w:r>
          </w:p>
        </w:tc>
        <w:tc>
          <w:tcPr>
            <w:tcW w:w="7218" w:type="dxa"/>
            <w:tcBorders/>
            <w:vAlign w:val="center"/>
          </w:tcPr>
          <w:p>
            <w:pPr>
              <w:pStyle w:val="TableContents"/>
              <w:bidi w:val="0"/>
              <w:spacing w:before="40" w:after="40"/>
              <w:jc w:val="left"/>
              <w:rPr/>
            </w:pPr>
            <w:r>
              <w:rPr/>
              <w:t>Will the existing email process run in parallel after go-live, and for how long? No cutover plan is described in the BRD.</w:t>
            </w:r>
          </w:p>
        </w:tc>
        <w:tc>
          <w:tcPr>
            <w:tcW w:w="1800" w:type="dxa"/>
            <w:tcBorders/>
            <w:vAlign w:val="center"/>
          </w:tcPr>
          <w:p>
            <w:pPr>
              <w:pStyle w:val="TableContents"/>
              <w:bidi w:val="0"/>
              <w:spacing w:before="40" w:after="40"/>
              <w:jc w:val="left"/>
              <w:rPr/>
            </w:pPr>
            <w:r>
              <w:rPr/>
              <w:t>Week 6</w:t>
            </w:r>
          </w:p>
        </w:tc>
      </w:tr>
      <w:tr>
        <w:trPr/>
        <w:tc>
          <w:tcPr>
            <w:tcW w:w="620" w:type="dxa"/>
            <w:tcBorders/>
            <w:vAlign w:val="center"/>
          </w:tcPr>
          <w:p>
            <w:pPr>
              <w:pStyle w:val="TableContents"/>
              <w:bidi w:val="0"/>
              <w:spacing w:before="40" w:after="40"/>
              <w:jc w:val="left"/>
              <w:rPr/>
            </w:pPr>
            <w:r>
              <w:rPr/>
              <w:t>Q33</w:t>
            </w:r>
          </w:p>
        </w:tc>
        <w:tc>
          <w:tcPr>
            <w:tcW w:w="7218" w:type="dxa"/>
            <w:tcBorders/>
            <w:vAlign w:val="center"/>
          </w:tcPr>
          <w:p>
            <w:pPr>
              <w:pStyle w:val="TableContents"/>
              <w:bidi w:val="0"/>
              <w:spacing w:before="40" w:after="40"/>
              <w:jc w:val="left"/>
              <w:rPr/>
            </w:pPr>
            <w:r>
              <w:rPr/>
              <w:t>In Broker Option 2, the BRD has the client entering their own estimated premium. This business rule appears questionable — please confirm the intent.</w:t>
            </w:r>
          </w:p>
        </w:tc>
        <w:tc>
          <w:tcPr>
            <w:tcW w:w="1800" w:type="dxa"/>
            <w:tcBorders/>
            <w:vAlign w:val="center"/>
          </w:tcPr>
          <w:p>
            <w:pPr>
              <w:pStyle w:val="TableContents"/>
              <w:bidi w:val="0"/>
              <w:spacing w:before="40" w:after="40"/>
              <w:jc w:val="left"/>
              <w:rPr/>
            </w:pPr>
            <w:r>
              <w:rPr/>
              <w:t>On request</w:t>
            </w:r>
          </w:p>
        </w:tc>
      </w:tr>
      <w:tr>
        <w:trPr/>
        <w:tc>
          <w:tcPr>
            <w:tcW w:w="620" w:type="dxa"/>
            <w:tcBorders/>
            <w:vAlign w:val="center"/>
          </w:tcPr>
          <w:p>
            <w:pPr>
              <w:pStyle w:val="TableContents"/>
              <w:bidi w:val="0"/>
              <w:spacing w:before="40" w:after="40"/>
              <w:jc w:val="left"/>
              <w:rPr/>
            </w:pPr>
            <w:r>
              <w:rPr/>
              <w:t>Q34</w:t>
            </w:r>
          </w:p>
        </w:tc>
        <w:tc>
          <w:tcPr>
            <w:tcW w:w="7218" w:type="dxa"/>
            <w:tcBorders/>
            <w:vAlign w:val="center"/>
          </w:tcPr>
          <w:p>
            <w:pPr>
              <w:pStyle w:val="TableContents"/>
              <w:bidi w:val="0"/>
              <w:spacing w:before="40" w:after="40"/>
              <w:jc w:val="left"/>
              <w:rPr/>
            </w:pPr>
            <w:r>
              <w:rPr/>
              <w:t>One prerequisite in the BRD ends mid-sentence: “</w:t>
            </w:r>
            <w:r>
              <w:rPr>
                <w:i/>
              </w:rPr>
              <w:t>visibility on fields that will be updated in NEXT3 ex”</w:t>
            </w:r>
            <w:r>
              <w:rPr/>
              <w:t>. Could the intended text be supplied?</w:t>
            </w:r>
          </w:p>
        </w:tc>
        <w:tc>
          <w:tcPr>
            <w:tcW w:w="1800" w:type="dxa"/>
            <w:tcBorders/>
            <w:vAlign w:val="center"/>
          </w:tcPr>
          <w:p>
            <w:pPr>
              <w:pStyle w:val="TableContents"/>
              <w:bidi w:val="0"/>
              <w:spacing w:before="40" w:after="40"/>
              <w:jc w:val="left"/>
              <w:rPr/>
            </w:pPr>
            <w:r>
              <w:rPr/>
              <w:t>Week 2</w:t>
            </w:r>
          </w:p>
        </w:tc>
      </w:tr>
    </w:tbl>
    <w:p>
      <w:pPr>
        <w:pStyle w:val="Heading2"/>
        <w:bidi w:val="0"/>
        <w:jc w:val="left"/>
        <w:rPr/>
      </w:pPr>
      <w:r>
        <w:rPr/>
        <w:t>8. Next steps</w:t>
      </w:r>
    </w:p>
    <w:tbl>
      <w:tblPr>
        <w:tblW w:w="9638" w:type="dxa"/>
        <w:jc w:val="left"/>
        <w:tblInd w:w="0" w:type="dxa"/>
        <w:tblLayout w:type="fixed"/>
        <w:tblCellMar>
          <w:top w:w="28" w:type="dxa"/>
          <w:left w:w="28" w:type="dxa"/>
          <w:bottom w:w="28" w:type="dxa"/>
          <w:right w:w="28" w:type="dxa"/>
        </w:tblCellMar>
      </w:tblPr>
      <w:tblGrid>
        <w:gridCol w:w="500"/>
        <w:gridCol w:w="5838"/>
        <w:gridCol w:w="1700"/>
        <w:gridCol w:w="1600"/>
      </w:tblGrid>
      <w:tr>
        <w:trPr/>
        <w:tc>
          <w:tcPr>
            <w:tcW w:w="500" w:type="dxa"/>
            <w:tcBorders/>
            <w:vAlign w:val="center"/>
          </w:tcPr>
          <w:p>
            <w:pPr>
              <w:pStyle w:val="TableHeading"/>
              <w:suppressLineNumbers/>
              <w:shd w:fill="1F3864" w:val="clear"/>
              <w:bidi w:val="0"/>
              <w:spacing w:before="40" w:after="40"/>
              <w:jc w:val="left"/>
              <w:rPr/>
            </w:pPr>
            <w:r>
              <w:rPr/>
              <w:t>#</w:t>
            </w:r>
          </w:p>
        </w:tc>
        <w:tc>
          <w:tcPr>
            <w:tcW w:w="5838" w:type="dxa"/>
            <w:tcBorders/>
            <w:vAlign w:val="center"/>
          </w:tcPr>
          <w:p>
            <w:pPr>
              <w:pStyle w:val="TableHeading"/>
              <w:suppressLineNumbers/>
              <w:shd w:fill="1F3864" w:val="clear"/>
              <w:bidi w:val="0"/>
              <w:spacing w:before="40" w:after="40"/>
              <w:jc w:val="left"/>
              <w:rPr/>
            </w:pPr>
            <w:r>
              <w:rPr/>
              <w:t>Action</w:t>
            </w:r>
          </w:p>
        </w:tc>
        <w:tc>
          <w:tcPr>
            <w:tcW w:w="1700" w:type="dxa"/>
            <w:tcBorders/>
            <w:vAlign w:val="center"/>
          </w:tcPr>
          <w:p>
            <w:pPr>
              <w:pStyle w:val="TableHeading"/>
              <w:suppressLineNumbers/>
              <w:shd w:fill="1F3864" w:val="clear"/>
              <w:bidi w:val="0"/>
              <w:spacing w:before="40" w:after="40"/>
              <w:jc w:val="left"/>
              <w:rPr/>
            </w:pPr>
            <w:r>
              <w:rPr/>
              <w:t>Owner</w:t>
            </w:r>
          </w:p>
        </w:tc>
        <w:tc>
          <w:tcPr>
            <w:tcW w:w="1600" w:type="dxa"/>
            <w:tcBorders/>
            <w:vAlign w:val="center"/>
          </w:tcPr>
          <w:p>
            <w:pPr>
              <w:pStyle w:val="TableHeading"/>
              <w:suppressLineNumbers/>
              <w:shd w:fill="1F3864" w:val="clear"/>
              <w:bidi w:val="0"/>
              <w:spacing w:before="40" w:after="40"/>
              <w:jc w:val="left"/>
              <w:rPr/>
            </w:pPr>
            <w:r>
              <w:rPr/>
              <w:t>By</w:t>
            </w:r>
          </w:p>
        </w:tc>
      </w:tr>
      <w:tr>
        <w:trPr/>
        <w:tc>
          <w:tcPr>
            <w:tcW w:w="500" w:type="dxa"/>
            <w:tcBorders/>
            <w:vAlign w:val="center"/>
          </w:tcPr>
          <w:p>
            <w:pPr>
              <w:pStyle w:val="TableContents"/>
              <w:bidi w:val="0"/>
              <w:spacing w:before="40" w:after="40"/>
              <w:jc w:val="left"/>
              <w:rPr/>
            </w:pPr>
            <w:r>
              <w:rPr/>
              <w:t>1</w:t>
            </w:r>
          </w:p>
        </w:tc>
        <w:tc>
          <w:tcPr>
            <w:tcW w:w="5838" w:type="dxa"/>
            <w:tcBorders/>
            <w:vAlign w:val="center"/>
          </w:tcPr>
          <w:p>
            <w:pPr>
              <w:pStyle w:val="TableContents"/>
              <w:bidi w:val="0"/>
              <w:spacing w:before="40" w:after="40"/>
              <w:jc w:val="left"/>
              <w:rPr/>
            </w:pPr>
            <w:r>
              <w:rPr/>
              <w:t>Answers to Q1–Q4 (NEXT3), Q15–Q16 (security), Q21–Q23 (devices), and the SMS provider choice in 4.3</w:t>
            </w:r>
          </w:p>
        </w:tc>
        <w:tc>
          <w:tcPr>
            <w:tcW w:w="1700" w:type="dxa"/>
            <w:tcBorders/>
            <w:vAlign w:val="center"/>
          </w:tcPr>
          <w:p>
            <w:pPr>
              <w:pStyle w:val="TableContents"/>
              <w:bidi w:val="0"/>
              <w:spacing w:before="40" w:after="40"/>
              <w:jc w:val="left"/>
              <w:rPr/>
            </w:pPr>
            <w:r>
              <w:rPr/>
              <w:t>AXA</w:t>
            </w:r>
          </w:p>
        </w:tc>
        <w:tc>
          <w:tcPr>
            <w:tcW w:w="1600" w:type="dxa"/>
            <w:tcBorders/>
            <w:vAlign w:val="center"/>
          </w:tcPr>
          <w:p>
            <w:pPr>
              <w:pStyle w:val="TableContents"/>
              <w:bidi w:val="0"/>
              <w:spacing w:before="40" w:after="40"/>
              <w:jc w:val="left"/>
              <w:rPr/>
            </w:pPr>
            <w:r>
              <w:rPr/>
              <w:t>25 Aug 2026</w:t>
            </w:r>
          </w:p>
        </w:tc>
      </w:tr>
      <w:tr>
        <w:trPr/>
        <w:tc>
          <w:tcPr>
            <w:tcW w:w="500" w:type="dxa"/>
            <w:tcBorders/>
            <w:vAlign w:val="center"/>
          </w:tcPr>
          <w:p>
            <w:pPr>
              <w:pStyle w:val="TableContents"/>
              <w:bidi w:val="0"/>
              <w:spacing w:before="40" w:after="40"/>
              <w:jc w:val="left"/>
              <w:rPr/>
            </w:pPr>
            <w:r>
              <w:rPr/>
              <w:t>2</w:t>
            </w:r>
          </w:p>
        </w:tc>
        <w:tc>
          <w:tcPr>
            <w:tcW w:w="5838" w:type="dxa"/>
            <w:tcBorders/>
            <w:vAlign w:val="center"/>
          </w:tcPr>
          <w:p>
            <w:pPr>
              <w:pStyle w:val="TableContents"/>
              <w:bidi w:val="0"/>
              <w:spacing w:before="40" w:after="40"/>
              <w:jc w:val="left"/>
              <w:rPr/>
            </w:pPr>
            <w:r>
              <w:rPr/>
              <w:t>Proposed API specification for the NEXT3 interface issued for review</w:t>
            </w:r>
          </w:p>
        </w:tc>
        <w:tc>
          <w:tcPr>
            <w:tcW w:w="1700" w:type="dxa"/>
            <w:tcBorders/>
            <w:vAlign w:val="center"/>
          </w:tcPr>
          <w:p>
            <w:pPr>
              <w:pStyle w:val="TableContents"/>
              <w:bidi w:val="0"/>
              <w:spacing w:before="40" w:after="40"/>
              <w:jc w:val="left"/>
              <w:rPr/>
            </w:pPr>
            <w:r>
              <w:rPr/>
              <w:t>Developer</w:t>
            </w:r>
          </w:p>
        </w:tc>
        <w:tc>
          <w:tcPr>
            <w:tcW w:w="1600" w:type="dxa"/>
            <w:tcBorders/>
            <w:vAlign w:val="center"/>
          </w:tcPr>
          <w:p>
            <w:pPr>
              <w:pStyle w:val="TableContents"/>
              <w:bidi w:val="0"/>
              <w:spacing w:before="40" w:after="40"/>
              <w:jc w:val="left"/>
              <w:rPr/>
            </w:pPr>
            <w:r>
              <w:rPr/>
              <w:t>Within one week</w:t>
            </w:r>
          </w:p>
        </w:tc>
      </w:tr>
      <w:tr>
        <w:trPr/>
        <w:tc>
          <w:tcPr>
            <w:tcW w:w="500" w:type="dxa"/>
            <w:tcBorders/>
            <w:vAlign w:val="center"/>
          </w:tcPr>
          <w:p>
            <w:pPr>
              <w:pStyle w:val="TableContents"/>
              <w:bidi w:val="0"/>
              <w:spacing w:before="40" w:after="40"/>
              <w:jc w:val="left"/>
              <w:rPr/>
            </w:pPr>
            <w:r>
              <w:rPr/>
              <w:t>3</w:t>
            </w:r>
          </w:p>
        </w:tc>
        <w:tc>
          <w:tcPr>
            <w:tcW w:w="5838" w:type="dxa"/>
            <w:tcBorders/>
            <w:vAlign w:val="center"/>
          </w:tcPr>
          <w:p>
            <w:pPr>
              <w:pStyle w:val="TableContents"/>
              <w:bidi w:val="0"/>
              <w:spacing w:before="40" w:after="40"/>
              <w:jc w:val="left"/>
              <w:rPr/>
            </w:pPr>
            <w:r>
              <w:rPr/>
              <w:t>Named NEXT3 technical contact identified, and a short call arranged between that person and the developer</w:t>
            </w:r>
          </w:p>
        </w:tc>
        <w:tc>
          <w:tcPr>
            <w:tcW w:w="1700" w:type="dxa"/>
            <w:tcBorders/>
            <w:vAlign w:val="center"/>
          </w:tcPr>
          <w:p>
            <w:pPr>
              <w:pStyle w:val="TableContents"/>
              <w:bidi w:val="0"/>
              <w:spacing w:before="40" w:after="40"/>
              <w:jc w:val="left"/>
              <w:rPr/>
            </w:pPr>
            <w:r>
              <w:rPr/>
              <w:t>AXA</w:t>
            </w:r>
          </w:p>
        </w:tc>
        <w:tc>
          <w:tcPr>
            <w:tcW w:w="1600" w:type="dxa"/>
            <w:tcBorders/>
            <w:vAlign w:val="center"/>
          </w:tcPr>
          <w:p>
            <w:pPr>
              <w:pStyle w:val="TableContents"/>
              <w:bidi w:val="0"/>
              <w:spacing w:before="40" w:after="40"/>
              <w:jc w:val="left"/>
              <w:rPr/>
            </w:pPr>
            <w:r>
              <w:rPr/>
              <w:t>25 Aug 2026</w:t>
            </w:r>
          </w:p>
        </w:tc>
      </w:tr>
      <w:tr>
        <w:trPr/>
        <w:tc>
          <w:tcPr>
            <w:tcW w:w="500" w:type="dxa"/>
            <w:tcBorders/>
            <w:vAlign w:val="center"/>
          </w:tcPr>
          <w:p>
            <w:pPr>
              <w:pStyle w:val="TableContents"/>
              <w:bidi w:val="0"/>
              <w:spacing w:before="40" w:after="40"/>
              <w:jc w:val="left"/>
              <w:rPr/>
            </w:pPr>
            <w:r>
              <w:rPr/>
              <w:t>4</w:t>
            </w:r>
          </w:p>
        </w:tc>
        <w:tc>
          <w:tcPr>
            <w:tcW w:w="5838" w:type="dxa"/>
            <w:tcBorders/>
            <w:vAlign w:val="center"/>
          </w:tcPr>
          <w:p>
            <w:pPr>
              <w:pStyle w:val="TableContents"/>
              <w:bidi w:val="0"/>
              <w:spacing w:before="40" w:after="40"/>
              <w:jc w:val="left"/>
              <w:rPr/>
            </w:pPr>
            <w:r>
              <w:rPr/>
              <w:t>Azure resource group and Contributor access requested through AXA’s internal process</w:t>
            </w:r>
          </w:p>
        </w:tc>
        <w:tc>
          <w:tcPr>
            <w:tcW w:w="1700" w:type="dxa"/>
            <w:tcBorders/>
            <w:vAlign w:val="center"/>
          </w:tcPr>
          <w:p>
            <w:pPr>
              <w:pStyle w:val="TableContents"/>
              <w:bidi w:val="0"/>
              <w:spacing w:before="40" w:after="40"/>
              <w:jc w:val="left"/>
              <w:rPr/>
            </w:pPr>
            <w:r>
              <w:rPr/>
              <w:t>AXA</w:t>
            </w:r>
          </w:p>
        </w:tc>
        <w:tc>
          <w:tcPr>
            <w:tcW w:w="1600" w:type="dxa"/>
            <w:tcBorders/>
            <w:vAlign w:val="center"/>
          </w:tcPr>
          <w:p>
            <w:pPr>
              <w:pStyle w:val="TableContents"/>
              <w:bidi w:val="0"/>
              <w:spacing w:before="40" w:after="40"/>
              <w:jc w:val="left"/>
              <w:rPr/>
            </w:pPr>
            <w:r>
              <w:rPr/>
              <w:t>Week 1</w:t>
            </w:r>
          </w:p>
        </w:tc>
      </w:tr>
      <w:tr>
        <w:trPr/>
        <w:tc>
          <w:tcPr>
            <w:tcW w:w="500" w:type="dxa"/>
            <w:tcBorders/>
            <w:vAlign w:val="center"/>
          </w:tcPr>
          <w:p>
            <w:pPr>
              <w:pStyle w:val="TableContents"/>
              <w:bidi w:val="0"/>
              <w:spacing w:before="40" w:after="40"/>
              <w:jc w:val="left"/>
              <w:rPr/>
            </w:pPr>
            <w:r>
              <w:rPr/>
              <w:t>5</w:t>
            </w:r>
          </w:p>
        </w:tc>
        <w:tc>
          <w:tcPr>
            <w:tcW w:w="5838" w:type="dxa"/>
            <w:tcBorders/>
            <w:vAlign w:val="center"/>
          </w:tcPr>
          <w:p>
            <w:pPr>
              <w:pStyle w:val="TableContents"/>
              <w:bidi w:val="0"/>
              <w:spacing w:before="40" w:after="40"/>
              <w:jc w:val="left"/>
              <w:rPr/>
            </w:pPr>
            <w:r>
              <w:rPr/>
              <w:t>Development begins — foundation, user administration, login, and all four modules against the NEXT3 simulator</w:t>
            </w:r>
          </w:p>
        </w:tc>
        <w:tc>
          <w:tcPr>
            <w:tcW w:w="1700" w:type="dxa"/>
            <w:tcBorders/>
            <w:vAlign w:val="center"/>
          </w:tcPr>
          <w:p>
            <w:pPr>
              <w:pStyle w:val="TableContents"/>
              <w:bidi w:val="0"/>
              <w:spacing w:before="40" w:after="40"/>
              <w:jc w:val="left"/>
              <w:rPr/>
            </w:pPr>
            <w:r>
              <w:rPr/>
              <w:t>Developer</w:t>
            </w:r>
          </w:p>
        </w:tc>
        <w:tc>
          <w:tcPr>
            <w:tcW w:w="1600" w:type="dxa"/>
            <w:tcBorders/>
            <w:vAlign w:val="center"/>
          </w:tcPr>
          <w:p>
            <w:pPr>
              <w:pStyle w:val="TableContents"/>
              <w:bidi w:val="0"/>
              <w:spacing w:before="40" w:after="40"/>
              <w:jc w:val="left"/>
              <w:rPr/>
            </w:pPr>
            <w:r>
              <w:rPr/>
              <w:t>On kick-off</w:t>
            </w:r>
          </w:p>
        </w:tc>
      </w:tr>
    </w:tbl>
    <w:p>
      <w:pPr>
        <w:pStyle w:val="BodyText"/>
        <w:bidi w:val="0"/>
        <w:jc w:val="left"/>
        <w:rPr/>
      </w:pPr>
      <w:r>
        <w:rPr/>
        <w:t>I am happy to walk through any part of this on a call, and to talk directly to whoever owns NEXT3 — half an hour with that person would probably resolve most of section 3.</w:t>
      </w:r>
    </w:p>
    <w:p>
      <w:pPr>
        <w:pStyle w:val="BodyTextfoot"/>
        <w:bidi w:val="0"/>
        <w:spacing w:before="480" w:after="160"/>
        <w:jc w:val="left"/>
        <w:rPr/>
      </w:pPr>
      <w:r>
        <w:rPr/>
        <w:t>Prepared by Ali Sleiman — 18 August 2026 — Version 0.1, first draft. Questions Q1–Q34 are consolidated from analysis of the BRD dated 5 August 2026.</w:t>
      </w:r>
    </w:p>
    <w:sectPr>
      <w:footerReference w:type="default" r:id="rIdFtr1"/>
      <w:type w:val="nextPage"/>
      <w:pgSz w:w="11906" w:h="16838"/>
      <w:pgMar w:left="1134" w:right="1134" w:gutter="0" w:header="567" w:top="1134" w:footer="68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altName w:val="Arial"/>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footer1.xml><?xml version="1.0" encoding="utf-8"?>
<w:ftr xmlns:w="http://schemas.openxmlformats.org/wordprocessingml/2006/main" xmlns:r="http://schemas.openxmlformats.org/officeDocument/2006/relationships">
  <w:p>
    <w:pPr>
      <w:tabs>
        <w:tab w:val="right" w:pos="9639"/>
      </w:tabs>
      <w:rPr>
        <w:rFonts w:ascii="Calibri" w:hAnsi="Calibri"/>
        <w:sz w:val="16"/>
        <w:color w:val="767171"/>
      </w:rPr>
    </w:pPr>
    <w:r>
      <w:rPr>
        <w:rFonts w:ascii="Calibri" w:hAnsi="Calibri"/>
        <w:sz w:val="16"/>
        <w:color w:val="767171"/>
      </w:rPr>
      <w:t xml:space="preserve">AXA Motor Claim Management App — Integration Questions and Running Costs — v0.1</w:t>
    </w:r>
    <w:r>
      <w:rPr>
        <w:rFonts w:ascii="Calibri" w:hAnsi="Calibri"/>
        <w:sz w:val="16"/>
        <w:color w:val="767171"/>
      </w:rPr>
      <w:tab/>
      <w:t xml:space="preserve">Page </w:t>
    </w:r>
    <w:r>
      <w:rPr>
        <w:rFonts w:ascii="Calibri" w:hAnsi="Calibri"/>
        <w:sz w:val="16"/>
        <w:color w:val="767171"/>
      </w:rPr>
      <w:fldChar w:fldCharType="begin"/>
    </w:r>
    <w:r>
      <w:rPr>
        <w:rFonts w:ascii="Calibri" w:hAnsi="Calibri"/>
        <w:sz w:val="16"/>
        <w:color w:val="767171"/>
      </w:rPr>
      <w:instrText xml:space="preserve"> PAGE </w:instrText>
    </w:r>
    <w:r>
      <w:rPr>
        <w:rFonts w:ascii="Calibri" w:hAnsi="Calibri"/>
        <w:sz w:val="16"/>
        <w:color w:val="767171"/>
      </w:rPr>
      <w:fldChar w:fldCharType="separate"/>
    </w:r>
    <w:r>
      <w:rPr>
        <w:rFonts w:ascii="Calibri" w:hAnsi="Calibri"/>
        <w:sz w:val="16"/>
        <w:color w:val="767171"/>
      </w:rPr>
      <w:t>1</w:t>
    </w:r>
    <w:r>
      <w:rPr>
        <w:rFonts w:ascii="Calibri" w:hAnsi="Calibri"/>
        <w:sz w:val="16"/>
        <w:color w:val="767171"/>
      </w:rPr>
      <w:fldChar w:fldCharType="end"/>
    </w:r>
    <w:r>
      <w:rPr>
        <w:rFonts w:ascii="Calibri" w:hAnsi="Calibri"/>
        <w:sz w:val="16"/>
        <w:color w:val="767171"/>
      </w:rPr>
      <w:t xml:space="preserve"> of </w:t>
    </w:r>
    <w:r>
      <w:rPr>
        <w:rFonts w:ascii="Calibri" w:hAnsi="Calibri"/>
        <w:sz w:val="16"/>
        <w:color w:val="767171"/>
      </w:rPr>
      <w:fldChar w:fldCharType="begin"/>
    </w:r>
    <w:r>
      <w:rPr>
        <w:rFonts w:ascii="Calibri" w:hAnsi="Calibri"/>
        <w:sz w:val="16"/>
        <w:color w:val="767171"/>
      </w:rPr>
      <w:instrText xml:space="preserve"> NUMPAGES </w:instrText>
    </w:r>
    <w:r>
      <w:rPr>
        <w:rFonts w:ascii="Calibri" w:hAnsi="Calibri"/>
        <w:sz w:val="16"/>
        <w:color w:val="767171"/>
      </w:rPr>
      <w:fldChar w:fldCharType="separate"/>
    </w:r>
    <w:r>
      <w:rPr>
        <w:rFonts w:ascii="Calibri" w:hAnsi="Calibri"/>
        <w:sz w:val="16"/>
        <w:color w:val="767171"/>
      </w:rPr>
      <w:t>1</w:t>
    </w:r>
    <w:r>
      <w:rPr>
        <w:rFonts w:ascii="Calibri" w:hAnsi="Calibri"/>
        <w:sz w:val="16"/>
        <w:color w:val="767171"/>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spacing w:before="240" w:after="40"/>
    </w:pPr>
    <w:rPr>
      <w:rFonts w:ascii="Calibri;Arial;sans-serif" w:hAnsi="Calibri;Arial;sans-serif" w:eastAsia="Calibri;Arial;sans-serif" w:cs="Calibri;Arial;sans-serif"/>
      <w:b/>
      <w:bCs/>
      <w:color w:val="1F3864"/>
      <w:sz w:val="40"/>
      <w:szCs w:val="40"/>
    </w:rPr>
  </w:style>
  <w:style w:type="paragraph" w:styleId="Heading2">
    <w:name w:val="heading 2"/>
    <w:basedOn w:val="Heading"/>
    <w:next w:val="BodyText"/>
    <w:qFormat/>
    <w:pPr>
      <w:pBdr>
        <w:bottom w:val="single" w:sz="2" w:space="2" w:color="B4C6E7"/>
      </w:pBdr>
      <w:spacing w:before="360" w:after="80"/>
      <w:outlineLvl w:val="1"/>
    </w:pPr>
    <w:rPr>
      <w:rFonts w:ascii="Calibri;Arial;sans-serif" w:hAnsi="Calibri;Arial;sans-serif" w:eastAsia="Calibri;Arial;sans-serif" w:cs="Calibri;Arial;sans-serif"/>
      <w:b/>
      <w:bCs/>
      <w:color w:val="1F3864"/>
      <w:sz w:val="28"/>
      <w:szCs w:val="28"/>
    </w:rPr>
  </w:style>
  <w:style w:type="paragraph" w:styleId="Heading3">
    <w:name w:val="heading 3"/>
    <w:basedOn w:val="Heading"/>
    <w:next w:val="BodyText"/>
    <w:qFormat/>
    <w:pPr>
      <w:spacing w:before="240" w:after="60"/>
      <w:outlineLvl w:val="2"/>
    </w:pPr>
    <w:rPr>
      <w:rFonts w:ascii="Calibri;Arial;sans-serif" w:hAnsi="Calibri;Arial;sans-serif" w:eastAsia="Calibri;Arial;sans-serif" w:cs="Calibri;Arial;sans-serif"/>
      <w:b/>
      <w:bCs/>
      <w:color w:val="2E5496"/>
      <w:sz w:val="23"/>
      <w:szCs w:val="23"/>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
    <w:name w:val="Body Text.sub"/>
    <w:basedOn w:val="BodyText"/>
    <w:qFormat/>
    <w:pPr/>
    <w:rPr>
      <w:color w:val="595959"/>
      <w:sz w:val="21"/>
      <w:szCs w:val="21"/>
    </w:rPr>
  </w:style>
  <w:style w:type="paragraph" w:styleId="TableHeading">
    <w:name w:val="Table Heading"/>
    <w:basedOn w:val="TableContents"/>
    <w:qFormat/>
    <w:pPr>
      <w:suppressLineNumbers/>
      <w:shd w:fill="1F3864" w:val="clear"/>
      <w:jc w:val="left"/>
    </w:pPr>
    <w:rPr>
      <w:b/>
      <w:bCs/>
      <w:color w:val="FFFFFF"/>
      <w:sz w:val="20"/>
      <w:szCs w:val="20"/>
    </w:rPr>
  </w:style>
  <w:style w:type="paragraph" w:styleId="BodyTextfoot">
    <w:name w:val="Body Text.foot"/>
    <w:basedOn w:val="BodyText"/>
    <w:qFormat/>
    <w:pPr>
      <w:pBdr>
        <w:top w:val="single" w:sz="2" w:space="6" w:color="D9D9D9"/>
      </w:pBdr>
      <w:spacing w:before="480" w:after="160"/>
    </w:pPr>
    <w:rPr>
      <w:color w:val="767171"/>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Ftr1"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AXA Motor Claims - Integration Questions and Running Costs</dc:title>
</cp:coreProperties>
</file>

<file path=docProps/custom.xml><?xml version="1.0" encoding="utf-8"?>
<Properties xmlns="http://schemas.openxmlformats.org/officeDocument/2006/custom-properties" xmlns:vt="http://schemas.openxmlformats.org/officeDocument/2006/docPropsVTypes"/>
</file>