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/>
          <w:i w:val="0"/>
          <w:color w:val="1A1A1A"/>
          <w:sz w:val="24"/>
        </w:rPr>
        <w:t>IMPRO × Сибирь Девелопмент</w:t>
      </w:r>
    </w:p>
    <w:p>
      <w:pPr>
        <w:jc w:val="center"/>
      </w:pPr>
      <w:r>
        <w:rPr>
          <w:rFonts w:ascii="Times New Roman" w:hAnsi="Times New Roman" w:eastAsia="Times New Roman"/>
          <w:b/>
          <w:i w:val="0"/>
          <w:color w:val="1A1A1A"/>
          <w:sz w:val="30"/>
        </w:rPr>
        <w:t>Прикладная записка для разбора · ЖК «Талай»</w:t>
      </w:r>
    </w:p>
    <w:p>
      <w:pPr>
        <w:jc w:val="center"/>
      </w:pPr>
      <w:r>
        <w:rPr>
          <w:rFonts w:ascii="Times New Roman" w:hAnsi="Times New Roman" w:eastAsia="Times New Roman"/>
          <w:b w:val="0"/>
          <w:i/>
          <w:color w:val="1A1A1A"/>
          <w:sz w:val="20"/>
        </w:rPr>
        <w:t>Факты · приоритетные работы · контур на 90 дней · v1.1 · 05.08.2026</w:t>
      </w:r>
    </w:p>
    <w:p/>
    <w:p>
      <w:pPr>
        <w:pStyle w:val="Heading1"/>
      </w:pPr>
      <w:r>
        <w:rPr>
          <w:rFonts w:ascii="Times New Roman" w:hAnsi="Times New Roman" w:eastAsia="Times New Roman"/>
          <w:color w:val="1A1A1A"/>
          <w:sz w:val="32"/>
        </w:rPr>
        <w:t>Часть I. Самые значимые факты</w:t>
      </w:r>
    </w:p>
    <w:p>
      <w:pPr>
        <w:pStyle w:val="Heading2"/>
      </w:pPr>
      <w:r>
        <w:rPr>
          <w:rFonts w:ascii="Times New Roman" w:hAnsi="Times New Roman" w:eastAsia="Times New Roman"/>
          <w:color w:val="1A1A1A"/>
          <w:sz w:val="28"/>
        </w:rPr>
        <w:t>1. Город — ворота, не курорт</w:t>
      </w:r>
    </w:p>
    <w:p>
      <w:pPr>
        <w:spacing w:after="120" w:before="0" w:line="276" w:lineRule="auto"/>
        <w:ind w:firstLine="425"/>
      </w:pPr>
      <w:r>
        <w:rPr>
          <w:rFonts w:ascii="Times New Roman" w:hAnsi="Times New Roman" w:eastAsia="Times New Roman"/>
          <w:b w:val="0"/>
          <w:i w:val="0"/>
          <w:color w:val="1A1A1A"/>
          <w:sz w:val="21"/>
        </w:rPr>
        <w:t>Горно-Алтайск даёт аэропорт, столицу, медицину, сервисы. Манжерок и Чемал — другой продукт и другая цена. В городе покупают и снимают снижение трения: первая и последняя ночь, ранний вылет, командировки, база перед маршрутом — не «отдых у подъёмника».</w:t>
      </w:r>
    </w:p>
    <w:p>
      <w:pPr>
        <w:spacing w:after="120" w:before="0" w:line="276" w:lineRule="auto"/>
        <w:ind w:firstLine="425"/>
      </w:pPr>
      <w:r>
        <w:rPr>
          <w:rFonts w:ascii="Times New Roman" w:hAnsi="Times New Roman" w:eastAsia="Times New Roman"/>
          <w:b/>
          <w:i w:val="0"/>
          <w:color w:val="1A1A1A"/>
          <w:sz w:val="21"/>
        </w:rPr>
        <w:t>Следствие для «Талая»:</w:t>
      </w:r>
      <w:r>
        <w:rPr>
          <w:rFonts w:ascii="Times New Roman" w:hAnsi="Times New Roman" w:eastAsia="Times New Roman"/>
          <w:b w:val="0"/>
          <w:i w:val="0"/>
          <w:color w:val="1A1A1A"/>
          <w:sz w:val="21"/>
        </w:rPr>
        <w:t xml:space="preserve"> язык «городская база Алтая», а не «квартира на курорте».</w:t>
      </w:r>
    </w:p>
    <w:p>
      <w:pPr>
        <w:pStyle w:val="Heading2"/>
      </w:pPr>
      <w:r>
        <w:rPr>
          <w:rFonts w:ascii="Times New Roman" w:hAnsi="Times New Roman" w:eastAsia="Times New Roman"/>
          <w:color w:val="1A1A1A"/>
          <w:sz w:val="28"/>
        </w:rPr>
        <w:t>2. Спрос не из «все переезжают жить»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1A1A1A"/>
                <w:sz w:val="16"/>
              </w:rPr>
              <w:t>Факт</w:t>
            </w:r>
          </w:p>
        </w:tc>
        <w:tc>
          <w:tcPr>
            <w:tcW w:type="dxa" w:w="4986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1A1A1A"/>
                <w:sz w:val="16"/>
              </w:rPr>
              <w:t>Цифра</w:t>
            </w:r>
          </w:p>
        </w:tc>
      </w:tr>
      <w:tr>
        <w:tc>
          <w:tcPr>
            <w:tcW w:type="dxa" w:w="4986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Население Горно-Алтайска</w:t>
            </w:r>
          </w:p>
        </w:tc>
        <w:tc>
          <w:tcPr>
            <w:tcW w:type="dxa" w:w="4986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63 848</w:t>
            </w:r>
          </w:p>
        </w:tc>
      </w:tr>
      <w:tr>
        <w:tc>
          <w:tcPr>
            <w:tcW w:type="dxa" w:w="4986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Население Республики Алтай</w:t>
            </w:r>
          </w:p>
        </w:tc>
        <w:tc>
          <w:tcPr>
            <w:tcW w:type="dxa" w:w="4986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210 095</w:t>
            </w:r>
          </w:p>
        </w:tc>
      </w:tr>
      <w:tr>
        <w:tc>
          <w:tcPr>
            <w:tcW w:type="dxa" w:w="4986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Миграция региона</w:t>
            </w:r>
          </w:p>
        </w:tc>
        <w:tc>
          <w:tcPr>
            <w:tcW w:type="dxa" w:w="4986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−439 / −497 (2023–24)</w:t>
            </w:r>
          </w:p>
        </w:tc>
      </w:tr>
      <w:tr>
        <w:tc>
          <w:tcPr>
            <w:tcW w:type="dxa" w:w="4986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Зарплата региона / города</w:t>
            </w:r>
          </w:p>
        </w:tc>
        <w:tc>
          <w:tcPr>
            <w:tcW w:type="dxa" w:w="4986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~75 / ~86 тыс. ₽</w:t>
            </w:r>
          </w:p>
        </w:tc>
      </w:tr>
      <w:tr>
        <w:tc>
          <w:tcPr>
            <w:tcW w:type="dxa" w:w="4986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Душевой доход региона</w:t>
            </w:r>
          </w:p>
        </w:tc>
        <w:tc>
          <w:tcPr>
            <w:tcW w:type="dxa" w:w="4986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~48 тыс. ₽</w:t>
            </w:r>
          </w:p>
        </w:tc>
      </w:tr>
      <w:tr>
        <w:tc>
          <w:tcPr>
            <w:tcW w:type="dxa" w:w="4986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Турпоток региона</w:t>
            </w:r>
          </w:p>
        </w:tc>
        <w:tc>
          <w:tcPr>
            <w:tcW w:type="dxa" w:w="4986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2,8 млн (2025)</w:t>
            </w:r>
          </w:p>
        </w:tc>
      </w:tr>
      <w:tr>
        <w:tc>
          <w:tcPr>
            <w:tcW w:type="dxa" w:w="4986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Аэропорт</w:t>
            </w:r>
          </w:p>
        </w:tc>
        <w:tc>
          <w:tcPr>
            <w:tcW w:type="dxa" w:w="4986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475 187 пасс. (2024); цель ёмкости 1,3–1,5 млн к ~2030 — не факт потока к 2028</w:t>
            </w:r>
          </w:p>
        </w:tc>
      </w:tr>
    </w:tbl>
    <w:p/>
    <w:p>
      <w:pPr>
        <w:spacing w:after="120" w:before="0" w:line="276" w:lineRule="auto"/>
        <w:ind w:firstLine="425"/>
      </w:pPr>
      <w:r>
        <w:rPr>
          <w:rFonts w:ascii="Times New Roman" w:hAnsi="Times New Roman" w:eastAsia="Times New Roman"/>
          <w:b w:val="0"/>
          <w:i w:val="0"/>
          <w:color w:val="1A1A1A"/>
          <w:sz w:val="21"/>
        </w:rPr>
        <w:t xml:space="preserve">Средняя семья на зарплате региона </w:t>
      </w:r>
      <w:r>
        <w:rPr>
          <w:rFonts w:ascii="Times New Roman" w:hAnsi="Times New Roman" w:eastAsia="Times New Roman"/>
          <w:b/>
          <w:i w:val="0"/>
          <w:color w:val="1A1A1A"/>
          <w:sz w:val="21"/>
        </w:rPr>
        <w:t>не тянет</w:t>
      </w:r>
      <w:r>
        <w:rPr>
          <w:rFonts w:ascii="Times New Roman" w:hAnsi="Times New Roman" w:eastAsia="Times New Roman"/>
          <w:b w:val="0"/>
          <w:i w:val="0"/>
          <w:color w:val="1A1A1A"/>
          <w:sz w:val="21"/>
        </w:rPr>
        <w:t xml:space="preserve"> чек </w:t>
      </w:r>
      <w:r>
        <w:rPr>
          <w:rFonts w:ascii="Times New Roman" w:hAnsi="Times New Roman" w:eastAsia="Times New Roman"/>
          <w:b/>
          <w:i w:val="0"/>
          <w:color w:val="1A1A1A"/>
          <w:sz w:val="21"/>
        </w:rPr>
        <w:t>9–11 млн</w:t>
      </w:r>
      <w:r>
        <w:rPr>
          <w:rFonts w:ascii="Times New Roman" w:hAnsi="Times New Roman" w:eastAsia="Times New Roman"/>
          <w:b w:val="0"/>
          <w:i w:val="0"/>
          <w:color w:val="1A1A1A"/>
          <w:sz w:val="21"/>
        </w:rPr>
        <w:t xml:space="preserve"> без капитала, вторички, сертификата или сложной ипотечной схемы. Семейная ипотека: льгота </w:t>
      </w:r>
      <w:r>
        <w:rPr>
          <w:rFonts w:ascii="Times New Roman" w:hAnsi="Times New Roman" w:eastAsia="Times New Roman"/>
          <w:b/>
          <w:i w:val="0"/>
          <w:color w:val="1A1A1A"/>
          <w:sz w:val="21"/>
        </w:rPr>
        <w:t>6%</w:t>
      </w:r>
      <w:r>
        <w:rPr>
          <w:rFonts w:ascii="Times New Roman" w:hAnsi="Times New Roman" w:eastAsia="Times New Roman"/>
          <w:b w:val="0"/>
          <w:i w:val="0"/>
          <w:color w:val="1A1A1A"/>
          <w:sz w:val="21"/>
        </w:rPr>
        <w:t xml:space="preserve">, лимит </w:t>
      </w:r>
      <w:r>
        <w:rPr>
          <w:rFonts w:ascii="Times New Roman" w:hAnsi="Times New Roman" w:eastAsia="Times New Roman"/>
          <w:b/>
          <w:i w:val="0"/>
          <w:color w:val="1A1A1A"/>
          <w:sz w:val="21"/>
        </w:rPr>
        <w:t>6 млн</w:t>
      </w:r>
      <w:r>
        <w:rPr>
          <w:rFonts w:ascii="Times New Roman" w:hAnsi="Times New Roman" w:eastAsia="Times New Roman"/>
          <w:b w:val="0"/>
          <w:i w:val="0"/>
          <w:color w:val="1A1A1A"/>
          <w:sz w:val="21"/>
        </w:rPr>
        <w:t xml:space="preserve"> — на чеке «Талая» почти всегда нужен </w:t>
      </w:r>
      <w:r>
        <w:rPr>
          <w:rFonts w:ascii="Times New Roman" w:hAnsi="Times New Roman" w:eastAsia="Times New Roman"/>
          <w:b/>
          <w:i w:val="0"/>
          <w:color w:val="1A1A1A"/>
          <w:sz w:val="21"/>
        </w:rPr>
        <w:t>комбинированный</w:t>
      </w:r>
      <w:r>
        <w:rPr>
          <w:rFonts w:ascii="Times New Roman" w:hAnsi="Times New Roman" w:eastAsia="Times New Roman"/>
          <w:b w:val="0"/>
          <w:i w:val="0"/>
          <w:color w:val="1A1A1A"/>
          <w:sz w:val="21"/>
        </w:rPr>
        <w:t xml:space="preserve"> кредит или большой взнос.</w:t>
      </w:r>
    </w:p>
    <w:p>
      <w:pPr>
        <w:pStyle w:val="Heading2"/>
      </w:pPr>
      <w:r>
        <w:rPr>
          <w:rFonts w:ascii="Times New Roman" w:hAnsi="Times New Roman" w:eastAsia="Times New Roman"/>
          <w:color w:val="1A1A1A"/>
          <w:sz w:val="28"/>
        </w:rPr>
        <w:t>3. Цена стыкуется с городской полкой — премия с октября требует опоры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</w:p>
        </w:tc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1A1A1A"/>
                <w:sz w:val="16"/>
              </w:rPr>
              <w:t>Пресейл</w:t>
            </w:r>
          </w:p>
        </w:tc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1A1A1A"/>
                <w:sz w:val="16"/>
              </w:rPr>
              <w:t>С октября (новые)</w:t>
            </w:r>
          </w:p>
        </w:tc>
      </w:tr>
      <w:tr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Цена</w:t>
            </w:r>
          </w:p>
        </w:tc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228 тыс. ₽/м²</w:t>
            </w:r>
          </w:p>
        </w:tc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253 тыс. ₽/м²</w:t>
            </w:r>
          </w:p>
        </w:tc>
      </w:tr>
      <w:tr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Средний чек</w:t>
            </w:r>
          </w:p>
        </w:tc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9,44 млн</w:t>
            </w:r>
          </w:p>
        </w:tc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10,47 млн</w:t>
            </w:r>
          </w:p>
        </w:tc>
      </w:tr>
    </w:tbl>
    <w:p/>
    <w:p>
      <w:pPr>
        <w:spacing w:after="120" w:before="0" w:line="276" w:lineRule="auto"/>
        <w:ind w:firstLine="425"/>
      </w:pPr>
      <w:r>
        <w:rPr>
          <w:rFonts w:ascii="Times New Roman" w:hAnsi="Times New Roman" w:eastAsia="Times New Roman"/>
          <w:b w:val="0"/>
          <w:i w:val="0"/>
          <w:color w:val="1A1A1A"/>
          <w:sz w:val="21"/>
        </w:rPr>
        <w:t xml:space="preserve">Якорь оферт Домклик (Горно-Алтайск «у природы», апр. 2026): </w:t>
      </w:r>
      <w:r>
        <w:rPr>
          <w:rFonts w:ascii="Times New Roman" w:hAnsi="Times New Roman" w:eastAsia="Times New Roman"/>
          <w:b/>
          <w:i w:val="0"/>
          <w:color w:val="1A1A1A"/>
          <w:sz w:val="21"/>
        </w:rPr>
        <w:t>226,7</w:t>
      </w:r>
      <w:r>
        <w:rPr>
          <w:rFonts w:ascii="Times New Roman" w:hAnsi="Times New Roman" w:eastAsia="Times New Roman"/>
          <w:b w:val="0"/>
          <w:i w:val="0"/>
          <w:color w:val="1A1A1A"/>
          <w:sz w:val="21"/>
        </w:rPr>
        <w:t xml:space="preserve"> тыс. ₽/м². Пресейл </w:t>
      </w:r>
      <w:r>
        <w:rPr>
          <w:rFonts w:ascii="Times New Roman" w:hAnsi="Times New Roman" w:eastAsia="Times New Roman"/>
          <w:b/>
          <w:i w:val="0"/>
          <w:color w:val="1A1A1A"/>
          <w:sz w:val="21"/>
        </w:rPr>
        <w:t>228</w:t>
      </w:r>
      <w:r>
        <w:rPr>
          <w:rFonts w:ascii="Times New Roman" w:hAnsi="Times New Roman" w:eastAsia="Times New Roman"/>
          <w:b w:val="0"/>
          <w:i w:val="0"/>
          <w:color w:val="1A1A1A"/>
          <w:sz w:val="21"/>
        </w:rPr>
        <w:t xml:space="preserve"> — вход в качественный городской продукт. </w:t>
      </w:r>
      <w:r>
        <w:rPr>
          <w:rFonts w:ascii="Times New Roman" w:hAnsi="Times New Roman" w:eastAsia="Times New Roman"/>
          <w:b/>
          <w:i w:val="0"/>
          <w:color w:val="1A1A1A"/>
          <w:sz w:val="21"/>
        </w:rPr>
        <w:t>253</w:t>
      </w:r>
      <w:r>
        <w:rPr>
          <w:rFonts w:ascii="Times New Roman" w:hAnsi="Times New Roman" w:eastAsia="Times New Roman"/>
          <w:b w:val="0"/>
          <w:i w:val="0"/>
          <w:color w:val="1A1A1A"/>
          <w:sz w:val="21"/>
        </w:rPr>
        <w:t xml:space="preserve"> — премия: её удобнее держать темпом первых договоров и продуктом, не фразой «Алтай всегда дорожает».</w:t>
      </w:r>
    </w:p>
    <w:p>
      <w:pPr>
        <w:spacing w:after="120" w:before="0" w:line="276" w:lineRule="auto"/>
        <w:ind w:firstLine="425"/>
      </w:pPr>
      <w:r>
        <w:rPr>
          <w:rFonts w:ascii="Times New Roman" w:hAnsi="Times New Roman" w:eastAsia="Times New Roman"/>
          <w:b w:val="0"/>
          <w:i w:val="0"/>
          <w:color w:val="1A1A1A"/>
          <w:sz w:val="21"/>
        </w:rPr>
        <w:t xml:space="preserve">Рынок уже наказывал за завышение: распроданность в регионе </w:t>
      </w:r>
      <w:r>
        <w:rPr>
          <w:rFonts w:ascii="Times New Roman" w:hAnsi="Times New Roman" w:eastAsia="Times New Roman"/>
          <w:b/>
          <w:i w:val="0"/>
          <w:color w:val="1A1A1A"/>
          <w:sz w:val="21"/>
        </w:rPr>
        <w:t>−47,8%</w:t>
      </w:r>
      <w:r>
        <w:rPr>
          <w:rFonts w:ascii="Times New Roman" w:hAnsi="Times New Roman" w:eastAsia="Times New Roman"/>
          <w:b w:val="0"/>
          <w:i w:val="0"/>
          <w:color w:val="1A1A1A"/>
          <w:sz w:val="21"/>
        </w:rPr>
        <w:t xml:space="preserve"> г/г (фев. 2026).</w:t>
      </w:r>
    </w:p>
    <w:p>
      <w:pPr>
        <w:pStyle w:val="Heading2"/>
      </w:pPr>
      <w:r>
        <w:rPr>
          <w:rFonts w:ascii="Times New Roman" w:hAnsi="Times New Roman" w:eastAsia="Times New Roman"/>
          <w:color w:val="1A1A1A"/>
          <w:sz w:val="28"/>
        </w:rPr>
        <w:t>4. Продукт — компактный городской, не «семейный квартал»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1A1A1A"/>
                <w:sz w:val="16"/>
              </w:rPr>
              <w:t>Параметр</w:t>
            </w:r>
          </w:p>
        </w:tc>
        <w:tc>
          <w:tcPr>
            <w:tcW w:type="dxa" w:w="4986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1A1A1A"/>
                <w:sz w:val="16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Всего квартир</w:t>
            </w:r>
          </w:p>
        </w:tc>
        <w:tc>
          <w:tcPr>
            <w:tcW w:type="dxa" w:w="4986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641</w:t>
            </w:r>
          </w:p>
        </w:tc>
      </w:tr>
      <w:tr>
        <w:tc>
          <w:tcPr>
            <w:tcW w:type="dxa" w:w="4986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Первая очередь</w:t>
            </w:r>
          </w:p>
        </w:tc>
        <w:tc>
          <w:tcPr>
            <w:tcW w:type="dxa" w:w="4986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секции 6–10 · 314 кв.</w:t>
            </w:r>
          </w:p>
        </w:tc>
      </w:tr>
      <w:tr>
        <w:tc>
          <w:tcPr>
            <w:tcW w:type="dxa" w:w="4986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Студии + однокомнатные на старте</w:t>
            </w:r>
          </w:p>
        </w:tc>
        <w:tc>
          <w:tcPr>
            <w:tcW w:type="dxa" w:w="4986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82,5%</w:t>
            </w:r>
          </w:p>
        </w:tc>
      </w:tr>
      <w:tr>
        <w:tc>
          <w:tcPr>
            <w:tcW w:type="dxa" w:w="4986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Средняя площадь</w:t>
            </w:r>
          </w:p>
        </w:tc>
        <w:tc>
          <w:tcPr>
            <w:tcW w:type="dxa" w:w="4986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41,3 м²</w:t>
            </w:r>
          </w:p>
        </w:tc>
      </w:tr>
      <w:tr>
        <w:tc>
          <w:tcPr>
            <w:tcW w:type="dxa" w:w="4986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Семейные форматы (2–3к)</w:t>
            </w:r>
          </w:p>
        </w:tc>
        <w:tc>
          <w:tcPr>
            <w:tcW w:type="dxa" w:w="4986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только 17,5%</w:t>
            </w:r>
          </w:p>
        </w:tc>
      </w:tr>
      <w:tr>
        <w:tc>
          <w:tcPr>
            <w:tcW w:type="dxa" w:w="4986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Паркинг / кладовые / общественные помещения</w:t>
            </w:r>
          </w:p>
        </w:tc>
        <w:tc>
          <w:tcPr>
            <w:tcW w:type="dxa" w:w="4986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218 / 485 / 29 шт. (2 552,9 м²)</w:t>
            </w:r>
          </w:p>
        </w:tc>
      </w:tr>
    </w:tbl>
    <w:p/>
    <w:p>
      <w:pPr>
        <w:spacing w:after="120" w:before="0" w:line="276" w:lineRule="auto"/>
        <w:ind w:firstLine="425"/>
      </w:pPr>
      <w:r>
        <w:rPr>
          <w:rFonts w:ascii="Times New Roman" w:hAnsi="Times New Roman" w:eastAsia="Times New Roman"/>
          <w:b w:val="0"/>
          <w:i w:val="0"/>
          <w:color w:val="1A1A1A"/>
          <w:sz w:val="21"/>
        </w:rPr>
        <w:t xml:space="preserve">Сценарии владения: жить / приезжать / сдавать самим / передать в управление. Ремонт, оснащение и управление — </w:t>
      </w:r>
      <w:r>
        <w:rPr>
          <w:rFonts w:ascii="Times New Roman" w:hAnsi="Times New Roman" w:eastAsia="Times New Roman"/>
          <w:b/>
          <w:i w:val="0"/>
          <w:color w:val="1A1A1A"/>
          <w:sz w:val="21"/>
        </w:rPr>
        <w:t>отдельные договоры</w:t>
      </w:r>
      <w:r>
        <w:rPr>
          <w:rFonts w:ascii="Times New Roman" w:hAnsi="Times New Roman" w:eastAsia="Times New Roman"/>
          <w:b w:val="0"/>
          <w:i w:val="0"/>
          <w:color w:val="1A1A1A"/>
          <w:sz w:val="21"/>
        </w:rPr>
        <w:t>, не внутри договора долевого участия.</w:t>
      </w:r>
    </w:p>
    <w:p>
      <w:pPr>
        <w:spacing w:after="120" w:before="0" w:line="276" w:lineRule="auto"/>
        <w:ind w:firstLine="425"/>
      </w:pPr>
      <w:r>
        <w:rPr>
          <w:rFonts w:ascii="Times New Roman" w:hAnsi="Times New Roman" w:eastAsia="Times New Roman"/>
          <w:b w:val="0"/>
          <w:i w:val="0"/>
          <w:color w:val="1A1A1A"/>
          <w:sz w:val="21"/>
        </w:rPr>
        <w:t>Квартирография плохо поддерживает образ «семейный квартал» как главный герой коммуникации.</w:t>
      </w:r>
    </w:p>
    <w:p>
      <w:pPr>
        <w:pStyle w:val="Heading2"/>
      </w:pPr>
      <w:r>
        <w:rPr>
          <w:rFonts w:ascii="Times New Roman" w:hAnsi="Times New Roman" w:eastAsia="Times New Roman"/>
          <w:color w:val="1A1A1A"/>
          <w:sz w:val="28"/>
        </w:rPr>
        <w:t>5. План запуска жёсткий по арифметике</w:t>
      </w:r>
    </w:p>
    <w:p>
      <w:pPr>
        <w:spacing w:after="120" w:before="0" w:line="276" w:lineRule="auto"/>
        <w:ind w:firstLine="425"/>
      </w:pPr>
      <w:r>
        <w:rPr>
          <w:rFonts w:ascii="Times New Roman" w:hAnsi="Times New Roman" w:eastAsia="Times New Roman"/>
          <w:b w:val="0"/>
          <w:i w:val="0"/>
          <w:color w:val="1A1A1A"/>
          <w:sz w:val="21"/>
        </w:rPr>
        <w:t xml:space="preserve">Цель к </w:t>
      </w:r>
      <w:r>
        <w:rPr>
          <w:rFonts w:ascii="Times New Roman" w:hAnsi="Times New Roman" w:eastAsia="Times New Roman"/>
          <w:b/>
          <w:i w:val="0"/>
          <w:color w:val="1A1A1A"/>
          <w:sz w:val="21"/>
        </w:rPr>
        <w:t>31.12.2026:</w:t>
      </w:r>
      <w:r>
        <w:rPr>
          <w:rFonts w:ascii="Times New Roman" w:hAnsi="Times New Roman" w:eastAsia="Times New Roman"/>
          <w:b w:val="0"/>
          <w:i w:val="0"/>
          <w:color w:val="1A1A1A"/>
          <w:sz w:val="21"/>
        </w:rPr>
        <w:t xml:space="preserve"> ≥ </w:t>
      </w:r>
      <w:r>
        <w:rPr>
          <w:rFonts w:ascii="Times New Roman" w:hAnsi="Times New Roman" w:eastAsia="Times New Roman"/>
          <w:b/>
          <w:i w:val="0"/>
          <w:color w:val="1A1A1A"/>
          <w:sz w:val="21"/>
        </w:rPr>
        <w:t>300 млн ₽</w:t>
      </w:r>
      <w:r>
        <w:rPr>
          <w:rFonts w:ascii="Times New Roman" w:hAnsi="Times New Roman" w:eastAsia="Times New Roman"/>
          <w:b w:val="0"/>
          <w:i w:val="0"/>
          <w:color w:val="1A1A1A"/>
          <w:sz w:val="21"/>
        </w:rPr>
        <w:t xml:space="preserve"> зарегистрированных договоров долевого участия.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1A1A1A"/>
                <w:sz w:val="16"/>
              </w:rPr>
              <w:t>Цепочка</w:t>
            </w:r>
          </w:p>
        </w:tc>
        <w:tc>
          <w:tcPr>
            <w:tcW w:type="dxa" w:w="4986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1A1A1A"/>
                <w:sz w:val="16"/>
              </w:rPr>
              <w:t>Число</w:t>
            </w:r>
          </w:p>
        </w:tc>
      </w:tr>
      <w:tr>
        <w:tc>
          <w:tcPr>
            <w:tcW w:type="dxa" w:w="4986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Платные брони накопительно</w:t>
            </w:r>
          </w:p>
        </w:tc>
        <w:tc>
          <w:tcPr>
            <w:tcW w:type="dxa" w:w="4986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25 (30.09) → 42 (31.10) → 54 (30.11)</w:t>
            </w:r>
          </w:p>
        </w:tc>
      </w:tr>
      <w:tr>
        <w:tc>
          <w:tcPr>
            <w:tcW w:type="dxa" w:w="4986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Конверсия бронь → договор</w:t>
            </w:r>
          </w:p>
        </w:tc>
        <w:tc>
          <w:tcPr>
            <w:tcW w:type="dxa" w:w="4986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≥ 60%</w:t>
            </w:r>
          </w:p>
        </w:tc>
      </w:tr>
      <w:tr>
        <w:tc>
          <w:tcPr>
            <w:tcW w:type="dxa" w:w="4986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Договоры</w:t>
            </w:r>
          </w:p>
        </w:tc>
        <w:tc>
          <w:tcPr>
            <w:tcW w:type="dxa" w:w="4986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32 (окт 15 · ноя 10 · дек 7)</w:t>
            </w:r>
          </w:p>
        </w:tc>
      </w:tr>
      <w:tr>
        <w:tc>
          <w:tcPr>
            <w:tcW w:type="dxa" w:w="4986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Бронь</w:t>
            </w:r>
          </w:p>
        </w:tc>
        <w:tc>
          <w:tcPr>
            <w:tcW w:type="dxa" w:w="4986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100 тыс. ₽, фиксация цены 45 дней</w:t>
            </w:r>
          </w:p>
        </w:tc>
      </w:tr>
    </w:tbl>
    <w:p/>
    <w:p>
      <w:pPr>
        <w:spacing w:after="120" w:before="0" w:line="276" w:lineRule="auto"/>
        <w:ind w:firstLine="425"/>
      </w:pPr>
      <w:r>
        <w:rPr>
          <w:rFonts w:ascii="Times New Roman" w:hAnsi="Times New Roman" w:eastAsia="Times New Roman"/>
          <w:b w:val="0"/>
          <w:i w:val="0"/>
          <w:color w:val="1A1A1A"/>
          <w:sz w:val="21"/>
        </w:rPr>
        <w:t xml:space="preserve">Сентябрьские </w:t>
      </w:r>
      <w:r>
        <w:rPr>
          <w:rFonts w:ascii="Times New Roman" w:hAnsi="Times New Roman" w:eastAsia="Times New Roman"/>
          <w:b/>
          <w:i w:val="0"/>
          <w:color w:val="1A1A1A"/>
          <w:sz w:val="21"/>
        </w:rPr>
        <w:t>25</w:t>
      </w:r>
      <w:r>
        <w:rPr>
          <w:rFonts w:ascii="Times New Roman" w:hAnsi="Times New Roman" w:eastAsia="Times New Roman"/>
          <w:b w:val="0"/>
          <w:i w:val="0"/>
          <w:color w:val="1A1A1A"/>
          <w:sz w:val="21"/>
        </w:rPr>
        <w:t xml:space="preserve"> броней почти целиком питают октябрьский план договоров. Поэтому сентябрь — не «разогрев», а несущая точка года.</w:t>
      </w:r>
    </w:p>
    <w:p>
      <w:pPr>
        <w:pStyle w:val="Heading2"/>
      </w:pPr>
      <w:r>
        <w:rPr>
          <w:rFonts w:ascii="Times New Roman" w:hAnsi="Times New Roman" w:eastAsia="Times New Roman"/>
          <w:color w:val="1A1A1A"/>
          <w:sz w:val="28"/>
        </w:rPr>
        <w:t>6. Конкуренция плотная; окно короткое</w:t>
      </w:r>
    </w:p>
    <w:p>
      <w:pPr>
        <w:spacing w:after="120" w:before="0" w:line="276" w:lineRule="auto"/>
        <w:ind w:firstLine="425"/>
      </w:pPr>
      <w:r>
        <w:rPr>
          <w:rFonts w:ascii="Times New Roman" w:hAnsi="Times New Roman" w:eastAsia="Times New Roman"/>
          <w:b w:val="0"/>
          <w:i w:val="0"/>
          <w:color w:val="1A1A1A"/>
          <w:sz w:val="21"/>
        </w:rPr>
        <w:t xml:space="preserve">Мониторинг </w:t>
      </w:r>
      <w:r>
        <w:rPr>
          <w:rFonts w:ascii="Times New Roman" w:hAnsi="Times New Roman" w:eastAsia="Times New Roman"/>
          <w:b/>
          <w:i w:val="0"/>
          <w:color w:val="1A1A1A"/>
          <w:sz w:val="21"/>
        </w:rPr>
        <w:t>10.07.2026:</w:t>
      </w:r>
      <w:r>
        <w:rPr>
          <w:rFonts w:ascii="Times New Roman" w:hAnsi="Times New Roman" w:eastAsia="Times New Roman"/>
          <w:b w:val="0"/>
          <w:i w:val="0"/>
          <w:color w:val="1A1A1A"/>
          <w:sz w:val="21"/>
        </w:rPr>
        <w:t xml:space="preserve"> </w:t>
      </w:r>
      <w:r>
        <w:rPr>
          <w:rFonts w:ascii="Times New Roman" w:hAnsi="Times New Roman" w:eastAsia="Times New Roman"/>
          <w:b/>
          <w:i w:val="0"/>
          <w:color w:val="1A1A1A"/>
          <w:sz w:val="21"/>
        </w:rPr>
        <w:t>12</w:t>
      </w:r>
      <w:r>
        <w:rPr>
          <w:rFonts w:ascii="Times New Roman" w:hAnsi="Times New Roman" w:eastAsia="Times New Roman"/>
          <w:b w:val="0"/>
          <w:i w:val="0"/>
          <w:color w:val="1A1A1A"/>
          <w:sz w:val="21"/>
        </w:rPr>
        <w:t xml:space="preserve"> проектов · </w:t>
      </w:r>
      <w:r>
        <w:rPr>
          <w:rFonts w:ascii="Times New Roman" w:hAnsi="Times New Roman" w:eastAsia="Times New Roman"/>
          <w:b/>
          <w:i w:val="0"/>
          <w:color w:val="1A1A1A"/>
          <w:sz w:val="21"/>
        </w:rPr>
        <w:t>786</w:t>
      </w:r>
      <w:r>
        <w:rPr>
          <w:rFonts w:ascii="Times New Roman" w:hAnsi="Times New Roman" w:eastAsia="Times New Roman"/>
          <w:b w:val="0"/>
          <w:i w:val="0"/>
          <w:color w:val="1A1A1A"/>
          <w:sz w:val="21"/>
        </w:rPr>
        <w:t xml:space="preserve"> лотов в экспозиции (витрина, не темп сделок).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1A1A1A"/>
                <w:sz w:val="16"/>
              </w:rPr>
              <w:t>Угроза</w:t>
            </w:r>
          </w:p>
        </w:tc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1A1A1A"/>
                <w:sz w:val="16"/>
              </w:rPr>
              <w:t>Кто</w:t>
            </w:r>
          </w:p>
        </w:tc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1A1A1A"/>
                <w:sz w:val="16"/>
              </w:rPr>
              <w:t>Смысл</w:t>
            </w:r>
          </w:p>
        </w:tc>
      </w:tr>
      <w:tr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Прямые городские</w:t>
            </w:r>
          </w:p>
        </w:tc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Дом 1824, Параллель, Олимп</w:t>
            </w:r>
          </w:p>
        </w:tc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Та же полка / тот же город</w:t>
            </w:r>
          </w:p>
        </w:tc>
      </w:tr>
      <w:tr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Сценарий «приезжать и сдавать»</w:t>
            </w:r>
          </w:p>
        </w:tc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Город Гор (Майма)</w:t>
            </w:r>
          </w:p>
        </w:tc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Главный жилой конкурент по сценарию</w:t>
            </w:r>
          </w:p>
        </w:tc>
      </w:tr>
      <w:tr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Будущее давление</w:t>
            </w:r>
          </w:p>
        </w:tc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Амаду (Брусника), ориентир ~3 кв. 2026</w:t>
            </w:r>
          </w:p>
        </w:tc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Перетягивает внимание и брокеров</w:t>
            </w:r>
          </w:p>
        </w:tc>
      </w:tr>
      <w:tr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Чужие проценты</w:t>
            </w:r>
          </w:p>
        </w:tc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Карлуу / апарт-полка</w:t>
            </w:r>
          </w:p>
        </w:tc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Завышают ожидания доходности</w:t>
            </w:r>
          </w:p>
        </w:tc>
      </w:tr>
    </w:tbl>
    <w:p/>
    <w:p>
      <w:pPr>
        <w:spacing w:after="120" w:before="0" w:line="276" w:lineRule="auto"/>
        <w:ind w:firstLine="425"/>
      </w:pPr>
      <w:r>
        <w:rPr>
          <w:rFonts w:ascii="Times New Roman" w:hAnsi="Times New Roman" w:eastAsia="Times New Roman"/>
          <w:b w:val="0"/>
          <w:i w:val="0"/>
          <w:color w:val="1A1A1A"/>
          <w:sz w:val="21"/>
        </w:rPr>
        <w:t>Сентябрь–октябрь удобны для закрепления броней и языка продукта; ноябрь–декабрь — для защиты внимания.</w:t>
      </w:r>
    </w:p>
    <w:p>
      <w:pPr>
        <w:pStyle w:val="Heading2"/>
      </w:pPr>
      <w:r>
        <w:rPr>
          <w:rFonts w:ascii="Times New Roman" w:hAnsi="Times New Roman" w:eastAsia="Times New Roman"/>
          <w:color w:val="1A1A1A"/>
          <w:sz w:val="28"/>
        </w:rPr>
        <w:t>7. Честная доходность городской квартиры — не 13–18%</w:t>
      </w:r>
    </w:p>
    <w:p>
      <w:pPr>
        <w:spacing w:after="120" w:before="0" w:line="276" w:lineRule="auto"/>
        <w:ind w:firstLine="425"/>
      </w:pPr>
      <w:r>
        <w:rPr>
          <w:rFonts w:ascii="Times New Roman" w:hAnsi="Times New Roman" w:eastAsia="Times New Roman"/>
          <w:b w:val="0"/>
          <w:i w:val="0"/>
          <w:color w:val="1A1A1A"/>
          <w:sz w:val="21"/>
        </w:rPr>
        <w:t>Ориентиры расчётных сценариев (после управляющей компании, на чеке ~9,4 млн):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1A1A1A"/>
                <w:sz w:val="16"/>
              </w:rPr>
              <w:t>Сценарий</w:t>
            </w:r>
          </w:p>
        </w:tc>
        <w:tc>
          <w:tcPr>
            <w:tcW w:type="dxa" w:w="4986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1A1A1A"/>
                <w:sz w:val="16"/>
              </w:rPr>
              <w:t>Ориентир чистыми</w:t>
            </w:r>
          </w:p>
        </w:tc>
      </w:tr>
      <w:tr>
        <w:tc>
          <w:tcPr>
            <w:tcW w:type="dxa" w:w="4986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Стресс</w:t>
            </w:r>
          </w:p>
        </w:tc>
        <w:tc>
          <w:tcPr>
            <w:tcW w:type="dxa" w:w="4986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~2–3%</w:t>
            </w:r>
          </w:p>
        </w:tc>
      </w:tr>
      <w:tr>
        <w:tc>
          <w:tcPr>
            <w:tcW w:type="dxa" w:w="4986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База</w:t>
            </w:r>
          </w:p>
        </w:tc>
        <w:tc>
          <w:tcPr>
            <w:tcW w:type="dxa" w:w="4986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часто ~4–7,5%</w:t>
            </w:r>
          </w:p>
        </w:tc>
      </w:tr>
      <w:tr>
        <w:tc>
          <w:tcPr>
            <w:tcW w:type="dxa" w:w="4986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Оптимистичный</w:t>
            </w:r>
          </w:p>
        </w:tc>
        <w:tc>
          <w:tcPr>
            <w:tcW w:type="dxa" w:w="4986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~9–10% (растяжка)</w:t>
            </w:r>
          </w:p>
        </w:tc>
      </w:tr>
    </w:tbl>
    <w:p/>
    <w:p>
      <w:pPr>
        <w:spacing w:after="120" w:before="0" w:line="276" w:lineRule="auto"/>
        <w:ind w:firstLine="425"/>
      </w:pPr>
      <w:r>
        <w:rPr>
          <w:rFonts w:ascii="Times New Roman" w:hAnsi="Times New Roman" w:eastAsia="Times New Roman"/>
          <w:b w:val="0"/>
          <w:i w:val="0"/>
          <w:color w:val="1A1A1A"/>
          <w:sz w:val="21"/>
        </w:rPr>
        <w:t xml:space="preserve">Обещания апарт-полки </w:t>
      </w:r>
      <w:r>
        <w:rPr>
          <w:rFonts w:ascii="Times New Roman" w:hAnsi="Times New Roman" w:eastAsia="Times New Roman"/>
          <w:b/>
          <w:i w:val="0"/>
          <w:color w:val="1A1A1A"/>
          <w:sz w:val="21"/>
        </w:rPr>
        <w:t>13–18%</w:t>
      </w:r>
      <w:r>
        <w:rPr>
          <w:rFonts w:ascii="Times New Roman" w:hAnsi="Times New Roman" w:eastAsia="Times New Roman"/>
          <w:b w:val="0"/>
          <w:i w:val="0"/>
          <w:color w:val="1A1A1A"/>
          <w:sz w:val="21"/>
        </w:rPr>
        <w:t xml:space="preserve"> относятся к другому продукту. Их лучше не переносить в язык «Талая». Запасной контур — долгосрочная аренда порядка </w:t>
      </w:r>
      <w:r>
        <w:rPr>
          <w:rFonts w:ascii="Times New Roman" w:hAnsi="Times New Roman" w:eastAsia="Times New Roman"/>
          <w:b/>
          <w:i w:val="0"/>
          <w:color w:val="1A1A1A"/>
          <w:sz w:val="21"/>
        </w:rPr>
        <w:t>~4–7%</w:t>
      </w:r>
      <w:r>
        <w:rPr>
          <w:rFonts w:ascii="Times New Roman" w:hAnsi="Times New Roman" w:eastAsia="Times New Roman"/>
          <w:b w:val="0"/>
          <w:i w:val="0"/>
          <w:color w:val="1A1A1A"/>
          <w:sz w:val="21"/>
        </w:rPr>
        <w:t xml:space="preserve"> при витринных 35–60 тыс. ₽/мес.</w:t>
      </w:r>
    </w:p>
    <w:p>
      <w:pPr>
        <w:pStyle w:val="Heading2"/>
      </w:pPr>
      <w:r>
        <w:rPr>
          <w:rFonts w:ascii="Times New Roman" w:hAnsi="Times New Roman" w:eastAsia="Times New Roman"/>
          <w:color w:val="1A1A1A"/>
          <w:sz w:val="28"/>
        </w:rPr>
        <w:t>8. Рабочий канал посредников уже, чем кажется по справочникам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1A1A1A"/>
                <w:sz w:val="16"/>
              </w:rPr>
              <w:t>Срез</w:t>
            </w:r>
          </w:p>
        </w:tc>
        <w:tc>
          <w:tcPr>
            <w:tcW w:type="dxa" w:w="4986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1A1A1A"/>
                <w:sz w:val="16"/>
              </w:rPr>
              <w:t>Что видно</w:t>
            </w:r>
          </w:p>
        </w:tc>
      </w:tr>
      <w:tr>
        <w:tc>
          <w:tcPr>
            <w:tcW w:type="dxa" w:w="4986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Каталоги города</w:t>
            </w:r>
          </w:p>
        </w:tc>
        <w:tc>
          <w:tcPr>
            <w:tcW w:type="dxa" w:w="4986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порядка 29 организаций с вывеской «недвижимость» (часть — шум)</w:t>
            </w:r>
          </w:p>
        </w:tc>
      </w:tr>
      <w:tr>
        <w:tc>
          <w:tcPr>
            <w:tcW w:type="dxa" w:w="4986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Сертификация Российской гильдии риэлторов</w:t>
            </w:r>
          </w:p>
        </w:tc>
        <w:tc>
          <w:tcPr>
            <w:tcW w:type="dxa" w:w="4986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2 агентства в регионе</w:t>
            </w:r>
          </w:p>
        </w:tc>
      </w:tr>
      <w:tr>
        <w:tc>
          <w:tcPr>
            <w:tcW w:type="dxa" w:w="4986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Аттестованные специалисты гильдии</w:t>
            </w:r>
          </w:p>
        </w:tc>
        <w:tc>
          <w:tcPr>
            <w:tcW w:type="dxa" w:w="4986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7 человек</w:t>
            </w:r>
          </w:p>
        </w:tc>
      </w:tr>
      <w:tr>
        <w:tc>
          <w:tcPr>
            <w:tcW w:type="dxa" w:w="4986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Отдел продаж «Талая»</w:t>
            </w:r>
          </w:p>
        </w:tc>
        <w:tc>
          <w:tcPr>
            <w:tcW w:type="dxa" w:w="4986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порядка 5 человек</w:t>
            </w:r>
          </w:p>
        </w:tc>
      </w:tr>
    </w:tbl>
    <w:p/>
    <w:p>
      <w:pPr>
        <w:spacing w:after="120" w:before="0" w:line="276" w:lineRule="auto"/>
        <w:ind w:firstLine="425"/>
      </w:pPr>
      <w:r>
        <w:rPr>
          <w:rFonts w:ascii="Times New Roman" w:hAnsi="Times New Roman" w:eastAsia="Times New Roman"/>
          <w:b w:val="0"/>
          <w:i w:val="0"/>
          <w:color w:val="1A1A1A"/>
          <w:sz w:val="21"/>
        </w:rPr>
        <w:t xml:space="preserve">Порядок «десятков–около сотни» точек в справочниках возможен, но для первички полезнее </w:t>
      </w:r>
      <w:r>
        <w:rPr>
          <w:rFonts w:ascii="Times New Roman" w:hAnsi="Times New Roman" w:eastAsia="Times New Roman"/>
          <w:b/>
          <w:i w:val="0"/>
          <w:color w:val="1A1A1A"/>
          <w:sz w:val="21"/>
        </w:rPr>
        <w:t>узкий пилот 2–3</w:t>
      </w:r>
      <w:r>
        <w:rPr>
          <w:rFonts w:ascii="Times New Roman" w:hAnsi="Times New Roman" w:eastAsia="Times New Roman"/>
          <w:b w:val="0"/>
          <w:i w:val="0"/>
          <w:color w:val="1A1A1A"/>
          <w:sz w:val="21"/>
        </w:rPr>
        <w:t xml:space="preserve"> сильных агентства с едиными правилами, чем открытие канала «всем».</w:t>
      </w:r>
    </w:p>
    <w:p>
      <w:pPr>
        <w:spacing w:after="120" w:before="0" w:line="276" w:lineRule="auto"/>
        <w:ind w:firstLine="425"/>
      </w:pPr>
      <w:r>
        <w:rPr>
          <w:rFonts w:ascii="Times New Roman" w:hAnsi="Times New Roman" w:eastAsia="Times New Roman"/>
          <w:b w:val="0"/>
          <w:i w:val="0"/>
          <w:color w:val="1A1A1A"/>
          <w:sz w:val="21"/>
        </w:rPr>
        <w:t xml:space="preserve">Ориентир к пилоту: </w:t>
      </w:r>
      <w:r>
        <w:rPr>
          <w:rFonts w:ascii="Times New Roman" w:hAnsi="Times New Roman" w:eastAsia="Times New Roman"/>
          <w:b/>
          <w:i w:val="0"/>
          <w:color w:val="1A1A1A"/>
          <w:sz w:val="21"/>
        </w:rPr>
        <w:t>Гравитон</w:t>
      </w:r>
      <w:r>
        <w:rPr>
          <w:rFonts w:ascii="Times New Roman" w:hAnsi="Times New Roman" w:eastAsia="Times New Roman"/>
          <w:b w:val="0"/>
          <w:i w:val="0"/>
          <w:color w:val="1A1A1A"/>
          <w:sz w:val="21"/>
        </w:rPr>
        <w:t xml:space="preserve">, </w:t>
      </w:r>
      <w:r>
        <w:rPr>
          <w:rFonts w:ascii="Times New Roman" w:hAnsi="Times New Roman" w:eastAsia="Times New Roman"/>
          <w:b/>
          <w:i w:val="0"/>
          <w:color w:val="1A1A1A"/>
          <w:sz w:val="21"/>
        </w:rPr>
        <w:t>АН «Республика»</w:t>
      </w:r>
      <w:r>
        <w:rPr>
          <w:rFonts w:ascii="Times New Roman" w:hAnsi="Times New Roman" w:eastAsia="Times New Roman"/>
          <w:b w:val="0"/>
          <w:i w:val="0"/>
          <w:color w:val="1A1A1A"/>
          <w:sz w:val="21"/>
        </w:rPr>
        <w:t xml:space="preserve">, </w:t>
      </w:r>
      <w:r>
        <w:rPr>
          <w:rFonts w:ascii="Times New Roman" w:hAnsi="Times New Roman" w:eastAsia="Times New Roman"/>
          <w:b/>
          <w:i w:val="0"/>
          <w:color w:val="1A1A1A"/>
          <w:sz w:val="21"/>
        </w:rPr>
        <w:t>Риэлт-Лидер</w:t>
      </w:r>
      <w:r>
        <w:rPr>
          <w:rFonts w:ascii="Times New Roman" w:hAnsi="Times New Roman" w:eastAsia="Times New Roman"/>
          <w:b w:val="0"/>
          <w:i w:val="0"/>
          <w:color w:val="1A1A1A"/>
          <w:sz w:val="21"/>
        </w:rPr>
        <w:t>.</w:t>
      </w:r>
    </w:p>
    <w:p>
      <w:pPr>
        <w:pStyle w:val="Heading2"/>
      </w:pPr>
      <w:r>
        <w:rPr>
          <w:rFonts w:ascii="Times New Roman" w:hAnsi="Times New Roman" w:eastAsia="Times New Roman"/>
          <w:color w:val="1A1A1A"/>
          <w:sz w:val="28"/>
        </w:rPr>
        <w:t>9. Открытые зоны (лучше назвать прямо)</w:t>
      </w:r>
    </w:p>
    <w:p>
      <w:pPr>
        <w:pStyle w:val="ListNumber"/>
        <w:spacing w:line="276" w:lineRule="auto" w:after="60"/>
      </w:pPr>
      <w:r>
        <w:rPr>
          <w:rFonts w:ascii="Times New Roman" w:hAnsi="Times New Roman" w:eastAsia="Times New Roman"/>
          <w:b w:val="0"/>
          <w:i w:val="0"/>
          <w:color w:val="1A1A1A"/>
          <w:sz w:val="22"/>
        </w:rPr>
        <w:t>Статус разрешения на строительство / проектной декларации в переданных материалах не подтверждён.</w:t>
      </w:r>
    </w:p>
    <w:p>
      <w:pPr>
        <w:pStyle w:val="ListNumber"/>
        <w:spacing w:line="276" w:lineRule="auto" w:after="60"/>
      </w:pPr>
      <w:r>
        <w:rPr>
          <w:rFonts w:ascii="Times New Roman" w:hAnsi="Times New Roman" w:eastAsia="Times New Roman"/>
          <w:b w:val="0"/>
          <w:i w:val="0"/>
          <w:color w:val="1A1A1A"/>
          <w:sz w:val="22"/>
        </w:rPr>
        <w:t>Помесячных договоров конкурентов в открытом доступе нет.</w:t>
      </w:r>
    </w:p>
    <w:p>
      <w:pPr>
        <w:pStyle w:val="ListNumber"/>
        <w:spacing w:line="276" w:lineRule="auto" w:after="60"/>
      </w:pPr>
      <w:r>
        <w:rPr>
          <w:rFonts w:ascii="Times New Roman" w:hAnsi="Times New Roman" w:eastAsia="Times New Roman"/>
          <w:b w:val="0"/>
          <w:i w:val="0"/>
          <w:color w:val="1A1A1A"/>
          <w:sz w:val="22"/>
        </w:rPr>
        <w:t>Оператор управления не выбран.</w:t>
      </w:r>
    </w:p>
    <w:p>
      <w:pPr>
        <w:pStyle w:val="ListNumber"/>
        <w:spacing w:line="276" w:lineRule="auto" w:after="60"/>
      </w:pPr>
      <w:r>
        <w:rPr>
          <w:rFonts w:ascii="Times New Roman" w:hAnsi="Times New Roman" w:eastAsia="Times New Roman"/>
          <w:b w:val="0"/>
          <w:i w:val="0"/>
          <w:color w:val="1A1A1A"/>
          <w:sz w:val="22"/>
        </w:rPr>
        <w:t>Экономики аренды общественных помещений (</w:t>
      </w:r>
      <w:r>
        <w:rPr>
          <w:rFonts w:ascii="Times New Roman" w:hAnsi="Times New Roman" w:eastAsia="Times New Roman"/>
          <w:b/>
          <w:i w:val="0"/>
          <w:color w:val="1A1A1A"/>
          <w:sz w:val="22"/>
        </w:rPr>
        <w:t>2 552,9</w:t>
      </w:r>
      <w:r>
        <w:rPr>
          <w:rFonts w:ascii="Times New Roman" w:hAnsi="Times New Roman" w:eastAsia="Times New Roman"/>
          <w:b w:val="0"/>
          <w:i w:val="0"/>
          <w:color w:val="1A1A1A"/>
          <w:sz w:val="22"/>
        </w:rPr>
        <w:t xml:space="preserve"> м²) нет.</w:t>
      </w:r>
    </w:p>
    <w:p>
      <w:pPr>
        <w:pStyle w:val="ListNumber"/>
        <w:spacing w:line="276" w:lineRule="auto" w:after="60"/>
      </w:pPr>
      <w:r>
        <w:rPr>
          <w:rFonts w:ascii="Times New Roman" w:hAnsi="Times New Roman" w:eastAsia="Times New Roman"/>
          <w:b w:val="0"/>
          <w:i w:val="0"/>
          <w:color w:val="1A1A1A"/>
          <w:sz w:val="22"/>
        </w:rPr>
        <w:t xml:space="preserve">Доли «жить / семья / приезжать / инвестиция» из концепции — гипотеза до калибровки на первых </w:t>
      </w:r>
      <w:r>
        <w:rPr>
          <w:rFonts w:ascii="Times New Roman" w:hAnsi="Times New Roman" w:eastAsia="Times New Roman"/>
          <w:b/>
          <w:i w:val="0"/>
          <w:color w:val="1A1A1A"/>
          <w:sz w:val="22"/>
        </w:rPr>
        <w:t>25</w:t>
      </w:r>
      <w:r>
        <w:rPr>
          <w:rFonts w:ascii="Times New Roman" w:hAnsi="Times New Roman" w:eastAsia="Times New Roman"/>
          <w:b w:val="0"/>
          <w:i w:val="0"/>
          <w:color w:val="1A1A1A"/>
          <w:sz w:val="22"/>
        </w:rPr>
        <w:t xml:space="preserve"> бронях.</w:t>
      </w:r>
    </w:p>
    <w:p>
      <w:pPr>
        <w:pStyle w:val="Heading1"/>
      </w:pPr>
      <w:r>
        <w:rPr>
          <w:rFonts w:ascii="Times New Roman" w:hAnsi="Times New Roman" w:eastAsia="Times New Roman"/>
          <w:color w:val="1A1A1A"/>
          <w:sz w:val="32"/>
        </w:rPr>
        <w:t>Часть II. Приоритетные работы по «Талаю»</w:t>
      </w:r>
    </w:p>
    <w:p>
      <w:pPr>
        <w:spacing w:after="120" w:before="0" w:line="276" w:lineRule="auto"/>
        <w:ind w:firstLine="425"/>
      </w:pPr>
      <w:r>
        <w:rPr>
          <w:rFonts w:ascii="Times New Roman" w:hAnsi="Times New Roman" w:eastAsia="Times New Roman"/>
          <w:b w:val="0"/>
          <w:i w:val="0"/>
          <w:color w:val="1A1A1A"/>
          <w:sz w:val="21"/>
        </w:rPr>
        <w:t>Ниже — не «список услуг», а работы, которые naturally вытекают из фактов части I и из вашего плана запуска. Их можно распределить между командой СД и внешним контуром; важно лишь, чтобы они не остались «между стульями» до пресейла.</w:t>
      </w:r>
    </w:p>
    <w:p>
      <w:pPr>
        <w:pStyle w:val="Heading2"/>
      </w:pPr>
      <w:r>
        <w:rPr>
          <w:rFonts w:ascii="Times New Roman" w:hAnsi="Times New Roman" w:eastAsia="Times New Roman"/>
          <w:color w:val="1A1A1A"/>
          <w:sz w:val="28"/>
        </w:rPr>
        <w:t>А. Язык и позиция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1A1A1A"/>
                <w:sz w:val="16"/>
              </w:rPr>
              <w:t>Код</w:t>
            </w:r>
          </w:p>
        </w:tc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1A1A1A"/>
                <w:sz w:val="16"/>
              </w:rPr>
              <w:t>Работа</w:t>
            </w:r>
          </w:p>
        </w:tc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1A1A1A"/>
                <w:sz w:val="16"/>
              </w:rPr>
              <w:t>Зачем</w:t>
            </w:r>
          </w:p>
        </w:tc>
      </w:tr>
      <w:tr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А1</w:t>
            </w:r>
          </w:p>
        </w:tc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Зафиксировать формулировку «городская база Алтая»</w:t>
            </w:r>
          </w:p>
        </w:tc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Единый язык сайта, скриптов, агентств</w:t>
            </w:r>
          </w:p>
        </w:tc>
      </w:tr>
      <w:tr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А2</w:t>
            </w:r>
          </w:p>
        </w:tc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Короткий реестр запрещённых фраз</w:t>
            </w:r>
          </w:p>
        </w:tc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Снизить репутационный и юридический риск</w:t>
            </w:r>
          </w:p>
        </w:tc>
      </w:tr>
      <w:tr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А3</w:t>
            </w:r>
          </w:p>
        </w:tc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Согласовать якорь цены 228 / логику защиты 253</w:t>
            </w:r>
          </w:p>
        </w:tc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Не торговаться слоганом «Алтай дорожает»</w:t>
            </w:r>
          </w:p>
        </w:tc>
      </w:tr>
      <w:tr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А4</w:t>
            </w:r>
          </w:p>
        </w:tc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Развести сообщения по сценариям владения</w:t>
            </w:r>
          </w:p>
        </w:tc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Не продавать «всем одно и то же»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Times New Roman"/>
          <w:color w:val="1A1A1A"/>
          <w:sz w:val="28"/>
        </w:rPr>
        <w:t>Б. Учёт, продажи, ипотека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1A1A1A"/>
                <w:sz w:val="16"/>
              </w:rPr>
              <w:t>Код</w:t>
            </w:r>
          </w:p>
        </w:tc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1A1A1A"/>
                <w:sz w:val="16"/>
              </w:rPr>
              <w:t>Работа</w:t>
            </w:r>
          </w:p>
        </w:tc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1A1A1A"/>
                <w:sz w:val="16"/>
              </w:rPr>
              <w:t>Зачем</w:t>
            </w:r>
          </w:p>
        </w:tc>
      </w:tr>
      <w:tr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Б1</w:t>
            </w:r>
          </w:p>
        </w:tc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Поля брони с дня 1 (намерение, география, взнос, канал, отказ)</w:t>
            </w:r>
          </w:p>
        </w:tc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Калибровка гипотез спроса</w:t>
            </w:r>
          </w:p>
        </w:tc>
      </w:tr>
      <w:tr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Б2</w:t>
            </w:r>
          </w:p>
        </w:tc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Метки источника на все обращения</w:t>
            </w:r>
          </w:p>
        </w:tc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Управляемость каналов</w:t>
            </w:r>
          </w:p>
        </w:tc>
      </w:tr>
      <w:tr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Б3</w:t>
            </w:r>
          </w:p>
        </w:tc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Именной контур ипотеки в окне 45 дней</w:t>
            </w:r>
          </w:p>
        </w:tc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Защита конверсии бронь → договор</w:t>
            </w:r>
          </w:p>
        </w:tc>
      </w:tr>
      <w:tr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Б4</w:t>
            </w:r>
          </w:p>
        </w:tc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Финквалификация до принятия 100 тыс. ₽</w:t>
            </w:r>
          </w:p>
        </w:tc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Меньше «пустых» броней</w:t>
            </w:r>
          </w:p>
        </w:tc>
      </w:tr>
      <w:tr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Б5</w:t>
            </w:r>
          </w:p>
        </w:tc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Скрипты для пяти менеджеров</w:t>
            </w:r>
          </w:p>
        </w:tc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Один ответ на «у них 13%» и на шаг цены</w:t>
            </w:r>
          </w:p>
        </w:tc>
      </w:tr>
      <w:tr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Б6</w:t>
            </w:r>
          </w:p>
        </w:tc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Еженедельный прогноз к 300 млн + разбор броней/отказов</w:t>
            </w:r>
          </w:p>
        </w:tc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Ранний сигнал по гейтам</w:t>
            </w:r>
          </w:p>
        </w:tc>
      </w:tr>
      <w:tr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Б7</w:t>
            </w:r>
          </w:p>
        </w:tc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Отдельно смотреть сумму договоров и эскроу</w:t>
            </w:r>
          </w:p>
        </w:tc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Не перепутать объём и кассу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Times New Roman"/>
          <w:color w:val="1A1A1A"/>
          <w:sz w:val="28"/>
        </w:rPr>
        <w:t>В. Агентский канал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1A1A1A"/>
                <w:sz w:val="16"/>
              </w:rPr>
              <w:t>Код</w:t>
            </w:r>
          </w:p>
        </w:tc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1A1A1A"/>
                <w:sz w:val="16"/>
              </w:rPr>
              <w:t>Работа</w:t>
            </w:r>
          </w:p>
        </w:tc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1A1A1A"/>
                <w:sz w:val="16"/>
              </w:rPr>
              <w:t>Зачем</w:t>
            </w:r>
          </w:p>
        </w:tc>
      </w:tr>
      <w:tr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В1</w:t>
            </w:r>
          </w:p>
        </w:tc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Пилот 2–3 агентства</w:t>
            </w:r>
          </w:p>
        </w:tc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Охват без хаоса при малом отделе продаж</w:t>
            </w:r>
          </w:p>
        </w:tc>
      </w:tr>
      <w:tr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В2</w:t>
            </w:r>
          </w:p>
        </w:tc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Единый прайс, бронь, запрет гарантий процента</w:t>
            </w:r>
          </w:p>
        </w:tc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Один продукт на всех витринах</w:t>
            </w:r>
          </w:p>
        </w:tc>
      </w:tr>
      <w:tr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В3</w:t>
            </w:r>
          </w:p>
        </w:tc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Метрика: встречи и платные брони</w:t>
            </w:r>
          </w:p>
        </w:tc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Не «лиды ради лидов»</w:t>
            </w:r>
          </w:p>
        </w:tc>
      </w:tr>
      <w:tr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В4</w:t>
            </w:r>
          </w:p>
        </w:tc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Утвердить комиссионный регламент</w:t>
            </w:r>
          </w:p>
        </w:tc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Прозрачные правила до старта</w:t>
            </w:r>
          </w:p>
        </w:tc>
      </w:tr>
      <w:tr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В5</w:t>
            </w:r>
          </w:p>
        </w:tc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Сибирских брокеров — после локального пилота</w:t>
            </w:r>
          </w:p>
        </w:tc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Не распыляться в сентябре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Times New Roman"/>
          <w:color w:val="1A1A1A"/>
          <w:sz w:val="28"/>
        </w:rPr>
        <w:t>Г. Доходный сценарий и управляющая компания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1A1A1A"/>
                <w:sz w:val="16"/>
              </w:rPr>
              <w:t>Код</w:t>
            </w:r>
          </w:p>
        </w:tc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1A1A1A"/>
                <w:sz w:val="16"/>
              </w:rPr>
              <w:t>Работа</w:t>
            </w:r>
          </w:p>
        </w:tc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1A1A1A"/>
                <w:sz w:val="16"/>
              </w:rPr>
              <w:t>Зачем</w:t>
            </w:r>
          </w:p>
        </w:tc>
      </w:tr>
      <w:tr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Г1</w:t>
            </w:r>
          </w:p>
        </w:tc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Сравнение 3–4 операторов по одному чек-листу</w:t>
            </w:r>
          </w:p>
        </w:tc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Не обещать управление вслепую</w:t>
            </w:r>
          </w:p>
        </w:tc>
      </w:tr>
      <w:tr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Г2</w:t>
            </w:r>
          </w:p>
        </w:tc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В креативе — «опционально / рассматриваются», без гарантии %</w:t>
            </w:r>
          </w:p>
        </w:tc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Защита доверия</w:t>
            </w:r>
          </w:p>
        </w:tc>
      </w:tr>
      <w:tr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Г3</w:t>
            </w:r>
          </w:p>
        </w:tc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Канон коммуникации: часто ~4–7,5% как сценарий</w:t>
            </w:r>
          </w:p>
        </w:tc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Единый ответ инвестору</w:t>
            </w:r>
          </w:p>
        </w:tc>
      </w:tr>
      <w:tr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Г4</w:t>
            </w:r>
          </w:p>
        </w:tc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Держать запасной контур долгосрочной аренды</w:t>
            </w:r>
          </w:p>
        </w:tc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Устойчивость продукта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Times New Roman"/>
          <w:color w:val="1A1A1A"/>
          <w:sz w:val="28"/>
        </w:rPr>
        <w:t>Д. Маркетинг до конца года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1A1A1A"/>
                <w:sz w:val="16"/>
              </w:rPr>
              <w:t>Код</w:t>
            </w:r>
          </w:p>
        </w:tc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1A1A1A"/>
                <w:sz w:val="16"/>
              </w:rPr>
              <w:t>Работа</w:t>
            </w:r>
          </w:p>
        </w:tc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1A1A1A"/>
                <w:sz w:val="16"/>
              </w:rPr>
              <w:t>Зачем</w:t>
            </w:r>
          </w:p>
        </w:tc>
      </w:tr>
      <w:tr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Д1</w:t>
            </w:r>
          </w:p>
        </w:tc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Утвердить медиабюджет сен–дек отдельно от сопровождения</w:t>
            </w:r>
          </w:p>
        </w:tc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Чтобы каналы не остались «на словах»</w:t>
            </w:r>
          </w:p>
        </w:tc>
      </w:tr>
      <w:tr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Д2</w:t>
            </w:r>
          </w:p>
        </w:tc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Сен–окт — закрепление; ноя–дек — защита внимания</w:t>
            </w:r>
          </w:p>
        </w:tc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Окно до шума Амаду</w:t>
            </w:r>
          </w:p>
        </w:tc>
      </w:tr>
      <w:tr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Д3</w:t>
            </w:r>
          </w:p>
        </w:tc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Наружка у аэропорта/выездов как поддержка локального доверия</w:t>
            </w:r>
          </w:p>
        </w:tc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Не основной канал Сибири</w:t>
            </w:r>
          </w:p>
        </w:tc>
      </w:tr>
      <w:tr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Д4</w:t>
            </w:r>
          </w:p>
        </w:tc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Не копировать курортный язык Манжерока</w:t>
            </w:r>
          </w:p>
        </w:tc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Иначе сравнение с чужой полкой</w:t>
            </w:r>
          </w:p>
        </w:tc>
      </w:tr>
      <w:tr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Д5</w:t>
            </w:r>
          </w:p>
        </w:tc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Аккуратно проверить два сообщения: «ворота» и «у курорта»</w:t>
            </w:r>
          </w:p>
        </w:tc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До разгона бюджета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Times New Roman"/>
          <w:color w:val="1A1A1A"/>
          <w:sz w:val="28"/>
        </w:rPr>
        <w:t>Е. Продукт и общественные помещения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1A1A1A"/>
                <w:sz w:val="16"/>
              </w:rPr>
              <w:t>Код</w:t>
            </w:r>
          </w:p>
        </w:tc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1A1A1A"/>
                <w:sz w:val="16"/>
              </w:rPr>
              <w:t>Работа</w:t>
            </w:r>
          </w:p>
        </w:tc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1A1A1A"/>
                <w:sz w:val="16"/>
              </w:rPr>
              <w:t>Зачем</w:t>
            </w:r>
          </w:p>
        </w:tc>
      </w:tr>
      <w:tr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Е1</w:t>
            </w:r>
          </w:p>
        </w:tc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Не обещать сервис 1 этажа как уже решённый факт</w:t>
            </w:r>
          </w:p>
        </w:tc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Пока нет экономики арендаторов</w:t>
            </w:r>
          </w:p>
        </w:tc>
      </w:tr>
      <w:tr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Е2</w:t>
            </w:r>
          </w:p>
        </w:tc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Зафиксировать минимальный набор функций на старт</w:t>
            </w:r>
          </w:p>
        </w:tc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Меньше хаоса в рекламе</w:t>
            </w:r>
          </w:p>
        </w:tc>
      </w:tr>
      <w:tr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Е3</w:t>
            </w:r>
          </w:p>
        </w:tc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Видовые/террасы не выводить целиком сразу</w:t>
            </w:r>
          </w:p>
        </w:tc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Сохранить дефицит</w:t>
            </w:r>
          </w:p>
        </w:tc>
      </w:tr>
      <w:tr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Е4</w:t>
            </w:r>
          </w:p>
        </w:tc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Семейные лоты вести точечно</w:t>
            </w:r>
          </w:p>
        </w:tc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Их мало в миксе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Times New Roman"/>
          <w:color w:val="1A1A1A"/>
          <w:sz w:val="28"/>
        </w:rPr>
        <w:t>Ж. Юридическая рамка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1A1A1A"/>
                <w:sz w:val="16"/>
              </w:rPr>
              <w:t>Код</w:t>
            </w:r>
          </w:p>
        </w:tc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1A1A1A"/>
                <w:sz w:val="16"/>
              </w:rPr>
              <w:t>Работа</w:t>
            </w:r>
          </w:p>
        </w:tc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1A1A1A"/>
                <w:sz w:val="16"/>
              </w:rPr>
              <w:t>Зачем</w:t>
            </w:r>
          </w:p>
        </w:tc>
      </w:tr>
      <w:tr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Ж1</w:t>
            </w:r>
          </w:p>
        </w:tc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Статус разрешения / декларации / допустимой рекламы</w:t>
            </w:r>
          </w:p>
        </w:tc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Блокер публичного старта</w:t>
            </w:r>
          </w:p>
        </w:tc>
      </w:tr>
      <w:tr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Ж2</w:t>
            </w:r>
          </w:p>
        </w:tc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Согласовать реестр формулировок с юристом</w:t>
            </w:r>
          </w:p>
        </w:tc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Единые правила для всех носителей</w:t>
            </w:r>
          </w:p>
        </w:tc>
      </w:tr>
      <w:tr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Ж3</w:t>
            </w:r>
          </w:p>
        </w:tc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Смотреть витрины партнёров на гарантии процента</w:t>
            </w:r>
          </w:p>
        </w:tc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Один пост бьёт по всему запуску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Times New Roman"/>
          <w:color w:val="1A1A1A"/>
          <w:sz w:val="28"/>
        </w:rPr>
        <w:t>И. Ритм контрольных точек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1A1A1A"/>
                <w:sz w:val="16"/>
              </w:rPr>
              <w:t>Дата</w:t>
            </w:r>
          </w:p>
        </w:tc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1A1A1A"/>
                <w:sz w:val="16"/>
              </w:rPr>
              <w:t>Точка</w:t>
            </w:r>
          </w:p>
        </w:tc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1A1A1A"/>
                <w:sz w:val="16"/>
              </w:rPr>
              <w:t>На что смотреть</w:t>
            </w:r>
          </w:p>
        </w:tc>
      </w:tr>
      <w:tr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~20.08</w:t>
            </w:r>
          </w:p>
        </w:tc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Готовность к пресейлу</w:t>
            </w:r>
          </w:p>
        </w:tc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Юррамка, бронь/сайт, скрипты, пилот агентств</w:t>
            </w:r>
          </w:p>
        </w:tc>
      </w:tr>
      <w:tr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30.09</w:t>
            </w:r>
          </w:p>
        </w:tc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25 броней</w:t>
            </w:r>
          </w:p>
        </w:tc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Качество входа и темп</w:t>
            </w:r>
          </w:p>
        </w:tc>
      </w:tr>
      <w:tr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31.10</w:t>
            </w:r>
          </w:p>
        </w:tc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42 брони / 15 договоров</w:t>
            </w:r>
          </w:p>
        </w:tc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Ипотечный хвост и конверсия</w:t>
            </w:r>
          </w:p>
        </w:tc>
      </w:tr>
      <w:tr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30.11</w:t>
            </w:r>
          </w:p>
        </w:tc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54 брони</w:t>
            </w:r>
          </w:p>
        </w:tc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План декабря</w:t>
            </w:r>
          </w:p>
        </w:tc>
      </w:tr>
      <w:tr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31.12</w:t>
            </w:r>
          </w:p>
        </w:tc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≥ 300 млн</w:t>
            </w:r>
          </w:p>
        </w:tc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Факт vs план</w:t>
            </w:r>
          </w:p>
        </w:tc>
      </w:tr>
    </w:tbl>
    <w:p/>
    <w:p>
      <w:pPr>
        <w:pStyle w:val="Heading3"/>
      </w:pPr>
      <w:r>
        <w:rPr>
          <w:rFonts w:ascii="Times New Roman" w:hAnsi="Times New Roman" w:eastAsia="Times New Roman"/>
          <w:color w:val="1A1A1A"/>
          <w:sz w:val="24"/>
        </w:rPr>
        <w:t>Если брать только минимум до пресейла</w:t>
      </w:r>
    </w:p>
    <w:p>
      <w:pPr>
        <w:spacing w:after="120" w:before="0" w:line="276" w:lineRule="auto"/>
        <w:ind w:firstLine="425"/>
      </w:pPr>
      <w:r>
        <w:rPr>
          <w:rFonts w:ascii="Times New Roman" w:hAnsi="Times New Roman" w:eastAsia="Times New Roman"/>
          <w:b w:val="0"/>
          <w:i w:val="0"/>
          <w:color w:val="1A1A1A"/>
          <w:sz w:val="21"/>
        </w:rPr>
        <w:t>Очень аккуратно — семь работ, без которых сентябрь становится хрупким:</w:t>
      </w:r>
    </w:p>
    <w:p>
      <w:pPr>
        <w:pStyle w:val="ListNumber"/>
        <w:spacing w:line="276" w:lineRule="auto" w:after="60"/>
      </w:pPr>
      <w:r>
        <w:rPr>
          <w:rFonts w:ascii="Times New Roman" w:hAnsi="Times New Roman" w:eastAsia="Times New Roman"/>
          <w:b w:val="0"/>
          <w:i w:val="0"/>
          <w:color w:val="1A1A1A"/>
          <w:sz w:val="22"/>
        </w:rPr>
        <w:t>Язык «ворота» и короткий список запретов.</w:t>
      </w:r>
    </w:p>
    <w:p>
      <w:pPr>
        <w:pStyle w:val="ListNumber"/>
        <w:spacing w:line="276" w:lineRule="auto" w:after="60"/>
      </w:pPr>
      <w:r>
        <w:rPr>
          <w:rFonts w:ascii="Times New Roman" w:hAnsi="Times New Roman" w:eastAsia="Times New Roman"/>
          <w:b w:val="0"/>
          <w:i w:val="0"/>
          <w:color w:val="1A1A1A"/>
          <w:sz w:val="22"/>
        </w:rPr>
        <w:t>Юридическая рамка рекламы.</w:t>
      </w:r>
    </w:p>
    <w:p>
      <w:pPr>
        <w:pStyle w:val="ListNumber"/>
        <w:spacing w:line="276" w:lineRule="auto" w:after="60"/>
      </w:pPr>
      <w:r>
        <w:rPr>
          <w:rFonts w:ascii="Times New Roman" w:hAnsi="Times New Roman" w:eastAsia="Times New Roman"/>
          <w:b w:val="0"/>
          <w:i w:val="0"/>
          <w:color w:val="1A1A1A"/>
          <w:sz w:val="22"/>
        </w:rPr>
        <w:t>Учёт броней с полями и метками.</w:t>
      </w:r>
    </w:p>
    <w:p>
      <w:pPr>
        <w:pStyle w:val="ListNumber"/>
        <w:spacing w:line="276" w:lineRule="auto" w:after="60"/>
      </w:pPr>
      <w:r>
        <w:rPr>
          <w:rFonts w:ascii="Times New Roman" w:hAnsi="Times New Roman" w:eastAsia="Times New Roman"/>
          <w:b w:val="0"/>
          <w:i w:val="0"/>
          <w:color w:val="1A1A1A"/>
          <w:sz w:val="22"/>
        </w:rPr>
        <w:t>Скрипты отдела продаж.</w:t>
      </w:r>
    </w:p>
    <w:p>
      <w:pPr>
        <w:pStyle w:val="ListNumber"/>
        <w:spacing w:line="276" w:lineRule="auto" w:after="60"/>
      </w:pPr>
      <w:r>
        <w:rPr>
          <w:rFonts w:ascii="Times New Roman" w:hAnsi="Times New Roman" w:eastAsia="Times New Roman"/>
          <w:b w:val="0"/>
          <w:i w:val="0"/>
          <w:color w:val="1A1A1A"/>
          <w:sz w:val="22"/>
        </w:rPr>
        <w:t>Пилот 2–3 агентства.</w:t>
      </w:r>
    </w:p>
    <w:p>
      <w:pPr>
        <w:pStyle w:val="ListNumber"/>
        <w:spacing w:line="276" w:lineRule="auto" w:after="60"/>
      </w:pPr>
      <w:r>
        <w:rPr>
          <w:rFonts w:ascii="Times New Roman" w:hAnsi="Times New Roman" w:eastAsia="Times New Roman"/>
          <w:b w:val="0"/>
          <w:i w:val="0"/>
          <w:color w:val="1A1A1A"/>
          <w:sz w:val="22"/>
        </w:rPr>
        <w:t>Ипотечный контур на 45 дней.</w:t>
      </w:r>
    </w:p>
    <w:p>
      <w:pPr>
        <w:pStyle w:val="ListNumber"/>
        <w:spacing w:line="276" w:lineRule="auto" w:after="60"/>
      </w:pPr>
      <w:r>
        <w:rPr>
          <w:rFonts w:ascii="Times New Roman" w:hAnsi="Times New Roman" w:eastAsia="Times New Roman"/>
          <w:b w:val="0"/>
          <w:i w:val="0"/>
          <w:color w:val="1A1A1A"/>
          <w:sz w:val="22"/>
        </w:rPr>
        <w:t>Еженедельный прогноз к гейту 25 броней.</w:t>
      </w:r>
    </w:p>
    <w:p>
      <w:pPr>
        <w:spacing w:after="120" w:before="0" w:line="276" w:lineRule="auto"/>
        <w:ind w:firstLine="425"/>
      </w:pPr>
      <w:r>
        <w:rPr>
          <w:rFonts w:ascii="Times New Roman" w:hAnsi="Times New Roman" w:eastAsia="Times New Roman"/>
          <w:b w:val="0"/>
          <w:i w:val="0"/>
          <w:color w:val="1A1A1A"/>
          <w:sz w:val="21"/>
        </w:rPr>
        <w:t>Остальное можно наращивать по мере хода пресейла.</w:t>
      </w:r>
    </w:p>
    <w:p>
      <w:pPr>
        <w:pStyle w:val="Heading1"/>
      </w:pPr>
      <w:r>
        <w:rPr>
          <w:rFonts w:ascii="Times New Roman" w:hAnsi="Times New Roman" w:eastAsia="Times New Roman"/>
          <w:color w:val="1A1A1A"/>
          <w:sz w:val="32"/>
        </w:rPr>
        <w:t>Часть III. Как вести этот контур ближайшие 90 дней</w:t>
      </w:r>
    </w:p>
    <w:p>
      <w:pPr>
        <w:spacing w:after="120" w:before="0" w:line="276" w:lineRule="auto"/>
        <w:ind w:firstLine="425"/>
      </w:pPr>
      <w:r>
        <w:rPr>
          <w:rFonts w:ascii="Times New Roman" w:hAnsi="Times New Roman" w:eastAsia="Times New Roman"/>
          <w:b w:val="0"/>
          <w:i w:val="0"/>
          <w:color w:val="1A1A1A"/>
          <w:sz w:val="21"/>
        </w:rPr>
        <w:t>Факты и работы выше показывают: запуск «Талая» — это не одна рекламная кампания и не один сайт. Это связка языка, учёта, отдела продаж, агентств, подрядчиков и ритма контроля.</w:t>
      </w:r>
    </w:p>
    <w:p>
      <w:pPr>
        <w:spacing w:after="120" w:before="0" w:line="276" w:lineRule="auto"/>
        <w:ind w:firstLine="425"/>
      </w:pPr>
      <w:r>
        <w:rPr>
          <w:rFonts w:ascii="Times New Roman" w:hAnsi="Times New Roman" w:eastAsia="Times New Roman"/>
          <w:b w:val="0"/>
          <w:i w:val="0"/>
          <w:color w:val="1A1A1A"/>
          <w:sz w:val="21"/>
        </w:rPr>
        <w:t xml:space="preserve">IMPRO уже внутри контура СД (поисковое продвижение и разработка). Логичное усиление на период запуска — </w:t>
      </w:r>
      <w:r>
        <w:rPr>
          <w:rFonts w:ascii="Times New Roman" w:hAnsi="Times New Roman" w:eastAsia="Times New Roman"/>
          <w:b/>
          <w:i w:val="0"/>
          <w:color w:val="1A1A1A"/>
          <w:sz w:val="21"/>
        </w:rPr>
        <w:t>не смена подрядчика</w:t>
      </w:r>
      <w:r>
        <w:rPr>
          <w:rFonts w:ascii="Times New Roman" w:hAnsi="Times New Roman" w:eastAsia="Times New Roman"/>
          <w:b w:val="0"/>
          <w:i w:val="0"/>
          <w:color w:val="1A1A1A"/>
          <w:sz w:val="21"/>
        </w:rPr>
        <w:t xml:space="preserve">, а аккуратное расширение роли на </w:t>
      </w:r>
      <w:r>
        <w:rPr>
          <w:rFonts w:ascii="Times New Roman" w:hAnsi="Times New Roman" w:eastAsia="Times New Roman"/>
          <w:b/>
          <w:i w:val="0"/>
          <w:color w:val="1A1A1A"/>
          <w:sz w:val="21"/>
        </w:rPr>
        <w:t>90 дней</w:t>
      </w:r>
      <w:r>
        <w:rPr>
          <w:rFonts w:ascii="Times New Roman" w:hAnsi="Times New Roman" w:eastAsia="Times New Roman"/>
          <w:b w:val="0"/>
          <w:i w:val="0"/>
          <w:color w:val="1A1A1A"/>
          <w:sz w:val="21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1A1A1A"/>
                <w:sz w:val="16"/>
              </w:rPr>
              <w:t>Что полезно держать в одном контуре</w:t>
            </w:r>
          </w:p>
        </w:tc>
        <w:tc>
          <w:tcPr>
            <w:tcW w:type="dxa" w:w="4986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1A1A1A"/>
                <w:sz w:val="16"/>
              </w:rPr>
              <w:t>Комментарий</w:t>
            </w:r>
          </w:p>
        </w:tc>
      </w:tr>
      <w:tr>
        <w:tc>
          <w:tcPr>
            <w:tcW w:type="dxa" w:w="4986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Стратегия языка и приоритетов сегментов</w:t>
            </w:r>
          </w:p>
        </w:tc>
        <w:tc>
          <w:tcPr>
            <w:tcW w:type="dxa" w:w="4986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Чтобы сайт, скрипты и агентства говорили одно</w:t>
            </w:r>
          </w:p>
        </w:tc>
      </w:tr>
      <w:tr>
        <w:tc>
          <w:tcPr>
            <w:tcW w:type="dxa" w:w="4986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Аналитика воронки, отказов, конкурентов, сигналов рынка</w:t>
            </w:r>
          </w:p>
        </w:tc>
        <w:tc>
          <w:tcPr>
            <w:tcW w:type="dxa" w:w="4986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Чтобы решения опирались на еженедельный срез</w:t>
            </w:r>
          </w:p>
        </w:tc>
      </w:tr>
      <w:tr>
        <w:tc>
          <w:tcPr>
            <w:tcW w:type="dxa" w:w="4986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Архитектура учёта и лёгкие IT-постановки</w:t>
            </w:r>
          </w:p>
        </w:tc>
        <w:tc>
          <w:tcPr>
            <w:tcW w:type="dxa" w:w="4986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Поля, этапы, технические задания</w:t>
            </w:r>
          </w:p>
        </w:tc>
      </w:tr>
      <w:tr>
        <w:tc>
          <w:tcPr>
            <w:tcW w:type="dxa" w:w="4986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Пилот агентств и контроль формулировок на витринах</w:t>
            </w:r>
          </w:p>
        </w:tc>
        <w:tc>
          <w:tcPr>
            <w:tcW w:type="dxa" w:w="4986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Без замены отдела продаж</w:t>
            </w:r>
          </w:p>
        </w:tc>
      </w:tr>
      <w:tr>
        <w:tc>
          <w:tcPr>
            <w:tcW w:type="dxa" w:w="4986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Координация внешних подрядчиков по брифам и приёмке</w:t>
            </w:r>
          </w:p>
        </w:tc>
        <w:tc>
          <w:tcPr>
            <w:tcW w:type="dxa" w:w="4986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Медиабюджет и комиссии агентств — отдельно у СД</w:t>
            </w:r>
          </w:p>
        </w:tc>
      </w:tr>
      <w:tr>
        <w:tc>
          <w:tcPr>
            <w:tcW w:type="dxa" w:w="4986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Ритм штаба к гейтам 25 / 42 / 54</w:t>
            </w:r>
          </w:p>
        </w:tc>
        <w:tc>
          <w:tcPr>
            <w:tcW w:type="dxa" w:w="4986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Повестка и фиксация решений</w:t>
            </w:r>
          </w:p>
        </w:tc>
      </w:tr>
    </w:tbl>
    <w:p/>
    <w:p>
      <w:pPr>
        <w:spacing w:after="120" w:before="0" w:line="276" w:lineRule="auto"/>
        <w:ind w:firstLine="425"/>
      </w:pPr>
      <w:r>
        <w:rPr>
          <w:rFonts w:ascii="Times New Roman" w:hAnsi="Times New Roman" w:eastAsia="Times New Roman"/>
          <w:b/>
          <w:i w:val="0"/>
          <w:color w:val="1A1A1A"/>
          <w:sz w:val="21"/>
        </w:rPr>
        <w:t>Формат обсуждения (без давления):</w:t>
      </w:r>
      <w:r>
        <w:rPr>
          <w:rFonts w:ascii="Times New Roman" w:hAnsi="Times New Roman" w:eastAsia="Times New Roman"/>
          <w:b w:val="0"/>
          <w:i w:val="0"/>
          <w:color w:val="1A1A1A"/>
          <w:sz w:val="21"/>
        </w:rPr>
        <w:t xml:space="preserve"> на 90 дней зафиксировать IMPRO как сопровождение маркетингово–цифрового и коммерческого контура запуска «Талай» рядом с командой СД. Базовый контур сопровождения — в диапазоне </w:t>
      </w:r>
      <w:r>
        <w:rPr>
          <w:rFonts w:ascii="Times New Roman" w:hAnsi="Times New Roman" w:eastAsia="Times New Roman"/>
          <w:b/>
          <w:i w:val="0"/>
          <w:color w:val="1A1A1A"/>
          <w:sz w:val="21"/>
        </w:rPr>
        <w:t>250–350 тыс. ₽/мес</w:t>
      </w:r>
      <w:r>
        <w:rPr>
          <w:rFonts w:ascii="Times New Roman" w:hAnsi="Times New Roman" w:eastAsia="Times New Roman"/>
          <w:b w:val="0"/>
          <w:i w:val="0"/>
          <w:color w:val="1A1A1A"/>
          <w:sz w:val="21"/>
        </w:rPr>
        <w:t xml:space="preserve"> (развитие текущего мандата). Дополнительные руки месяца (рекламные кабинеты, продакшн, IT-спринты, разбор звонков и т.п.) — по необходимости, отдельно, ориентир </w:t>
      </w:r>
      <w:r>
        <w:rPr>
          <w:rFonts w:ascii="Times New Roman" w:hAnsi="Times New Roman" w:eastAsia="Times New Roman"/>
          <w:b/>
          <w:i w:val="0"/>
          <w:color w:val="1A1A1A"/>
          <w:sz w:val="21"/>
        </w:rPr>
        <w:t>150–350 тыс. ₽</w:t>
      </w:r>
      <w:r>
        <w:rPr>
          <w:rFonts w:ascii="Times New Roman" w:hAnsi="Times New Roman" w:eastAsia="Times New Roman"/>
          <w:b w:val="0"/>
          <w:i w:val="0"/>
          <w:color w:val="1A1A1A"/>
          <w:sz w:val="21"/>
        </w:rPr>
        <w:t>. Успех удобнее связывать с гейтами броней/конверсии или с узко атрибутируемым каналом, а не с процентом от всех договоров проекта.</w:t>
      </w:r>
    </w:p>
    <w:p>
      <w:pPr>
        <w:spacing w:after="120" w:before="0" w:line="276" w:lineRule="auto"/>
        <w:ind w:firstLine="425"/>
      </w:pPr>
      <w:r>
        <w:rPr>
          <w:rFonts w:ascii="Times New Roman" w:hAnsi="Times New Roman" w:eastAsia="Times New Roman"/>
          <w:b w:val="0"/>
          <w:i w:val="0"/>
          <w:color w:val="1A1A1A"/>
          <w:sz w:val="21"/>
        </w:rPr>
        <w:t>Уже выполненная аналитика и эта записка могут быть зачтены как часть входа в первый месяц — чтобы старт роли не выглядел «оплатой за воздух».</w:t>
      </w:r>
    </w:p>
    <w:p>
      <w:pPr>
        <w:pStyle w:val="Heading1"/>
      </w:pPr>
      <w:r>
        <w:rPr>
          <w:rFonts w:ascii="Times New Roman" w:hAnsi="Times New Roman" w:eastAsia="Times New Roman"/>
          <w:color w:val="1A1A1A"/>
          <w:sz w:val="32"/>
        </w:rPr>
        <w:t>Часть IV. Что полезно зафиксировать по итогам разбора</w:t>
      </w:r>
    </w:p>
    <w:p>
      <w:pPr>
        <w:spacing w:after="120" w:before="0" w:line="276" w:lineRule="auto"/>
        <w:ind w:firstLine="425"/>
      </w:pPr>
      <w:r>
        <w:rPr>
          <w:rFonts w:ascii="Times New Roman" w:hAnsi="Times New Roman" w:eastAsia="Times New Roman"/>
          <w:b w:val="0"/>
          <w:i w:val="0"/>
          <w:color w:val="1A1A1A"/>
          <w:sz w:val="21"/>
        </w:rPr>
        <w:t xml:space="preserve">Не обязательно решать всё сразу. Достаточно отметить по каждому пункту: </w:t>
      </w:r>
      <w:r>
        <w:rPr>
          <w:rFonts w:ascii="Times New Roman" w:hAnsi="Times New Roman" w:eastAsia="Times New Roman"/>
          <w:b/>
          <w:i w:val="0"/>
          <w:color w:val="1A1A1A"/>
          <w:sz w:val="21"/>
        </w:rPr>
        <w:t>согласны / скорректировать / позже</w:t>
      </w:r>
      <w:r>
        <w:rPr>
          <w:rFonts w:ascii="Times New Roman" w:hAnsi="Times New Roman" w:eastAsia="Times New Roman"/>
          <w:b w:val="0"/>
          <w:i w:val="0"/>
          <w:color w:val="1A1A1A"/>
          <w:sz w:val="21"/>
        </w:rPr>
        <w:t>.</w:t>
      </w:r>
    </w:p>
    <w:p>
      <w:pPr>
        <w:spacing w:after="120" w:before="0" w:line="276" w:lineRule="auto"/>
        <w:ind w:firstLine="425"/>
      </w:pPr>
      <w:r>
        <w:rPr>
          <w:rFonts w:ascii="Times New Roman" w:hAnsi="Times New Roman" w:eastAsia="Times New Roman"/>
          <w:b/>
          <w:i w:val="0"/>
          <w:color w:val="1A1A1A"/>
          <w:sz w:val="21"/>
        </w:rPr>
        <w:t>По рамке продукта и рынка</w:t>
      </w:r>
    </w:p>
    <w:p>
      <w:pPr>
        <w:pStyle w:val="ListNumber"/>
        <w:spacing w:line="276" w:lineRule="auto" w:after="60"/>
      </w:pPr>
      <w:r>
        <w:rPr>
          <w:rFonts w:ascii="Times New Roman" w:hAnsi="Times New Roman" w:eastAsia="Times New Roman"/>
          <w:b w:val="0"/>
          <w:i w:val="0"/>
          <w:color w:val="1A1A1A"/>
          <w:sz w:val="22"/>
        </w:rPr>
        <w:t>Язык «город-ворота» и отказ от курортных/гарантийных формулировок.</w:t>
      </w:r>
    </w:p>
    <w:p>
      <w:pPr>
        <w:pStyle w:val="ListNumber"/>
        <w:spacing w:line="276" w:lineRule="auto" w:after="60"/>
      </w:pPr>
      <w:r>
        <w:rPr>
          <w:rFonts w:ascii="Times New Roman" w:hAnsi="Times New Roman" w:eastAsia="Times New Roman"/>
          <w:b w:val="0"/>
          <w:i w:val="0"/>
          <w:color w:val="1A1A1A"/>
          <w:sz w:val="22"/>
        </w:rPr>
        <w:t xml:space="preserve">Пресейл </w:t>
      </w:r>
      <w:r>
        <w:rPr>
          <w:rFonts w:ascii="Times New Roman" w:hAnsi="Times New Roman" w:eastAsia="Times New Roman"/>
          <w:b/>
          <w:i w:val="0"/>
          <w:color w:val="1A1A1A"/>
          <w:sz w:val="22"/>
        </w:rPr>
        <w:t>228</w:t>
      </w:r>
      <w:r>
        <w:rPr>
          <w:rFonts w:ascii="Times New Roman" w:hAnsi="Times New Roman" w:eastAsia="Times New Roman"/>
          <w:b w:val="0"/>
          <w:i w:val="0"/>
          <w:color w:val="1A1A1A"/>
          <w:sz w:val="22"/>
        </w:rPr>
        <w:t xml:space="preserve"> как рыночный вход; </w:t>
      </w:r>
      <w:r>
        <w:rPr>
          <w:rFonts w:ascii="Times New Roman" w:hAnsi="Times New Roman" w:eastAsia="Times New Roman"/>
          <w:b/>
          <w:i w:val="0"/>
          <w:color w:val="1A1A1A"/>
          <w:sz w:val="22"/>
        </w:rPr>
        <w:t>253</w:t>
      </w:r>
      <w:r>
        <w:rPr>
          <w:rFonts w:ascii="Times New Roman" w:hAnsi="Times New Roman" w:eastAsia="Times New Roman"/>
          <w:b w:val="0"/>
          <w:i w:val="0"/>
          <w:color w:val="1A1A1A"/>
          <w:sz w:val="22"/>
        </w:rPr>
        <w:t xml:space="preserve"> — с опорой на первые договоры.</w:t>
      </w:r>
    </w:p>
    <w:p>
      <w:pPr>
        <w:pStyle w:val="ListNumber"/>
        <w:spacing w:line="276" w:lineRule="auto" w:after="60"/>
      </w:pPr>
      <w:r>
        <w:rPr>
          <w:rFonts w:ascii="Times New Roman" w:hAnsi="Times New Roman" w:eastAsia="Times New Roman"/>
          <w:b w:val="0"/>
          <w:i w:val="0"/>
          <w:color w:val="1A1A1A"/>
          <w:sz w:val="22"/>
        </w:rPr>
        <w:t xml:space="preserve">Доходность только сценариями порядка </w:t>
      </w:r>
      <w:r>
        <w:rPr>
          <w:rFonts w:ascii="Times New Roman" w:hAnsi="Times New Roman" w:eastAsia="Times New Roman"/>
          <w:b/>
          <w:i w:val="0"/>
          <w:color w:val="1A1A1A"/>
          <w:sz w:val="22"/>
        </w:rPr>
        <w:t>4–7,5%</w:t>
      </w:r>
      <w:r>
        <w:rPr>
          <w:rFonts w:ascii="Times New Roman" w:hAnsi="Times New Roman" w:eastAsia="Times New Roman"/>
          <w:b w:val="0"/>
          <w:i w:val="0"/>
          <w:color w:val="1A1A1A"/>
          <w:sz w:val="22"/>
        </w:rPr>
        <w:t xml:space="preserve"> для отдела продаж и агентств.</w:t>
      </w:r>
    </w:p>
    <w:p>
      <w:pPr>
        <w:spacing w:after="120" w:before="0" w:line="276" w:lineRule="auto"/>
        <w:ind w:firstLine="425"/>
      </w:pPr>
      <w:r>
        <w:rPr>
          <w:rFonts w:ascii="Times New Roman" w:hAnsi="Times New Roman" w:eastAsia="Times New Roman"/>
          <w:b/>
          <w:i w:val="0"/>
          <w:color w:val="1A1A1A"/>
          <w:sz w:val="21"/>
        </w:rPr>
        <w:t>По работам до пресейла</w:t>
      </w:r>
    </w:p>
    <w:p>
      <w:pPr>
        <w:pStyle w:val="ListNumber"/>
        <w:spacing w:line="276" w:lineRule="auto" w:after="60"/>
      </w:pPr>
      <w:r>
        <w:rPr>
          <w:rFonts w:ascii="Times New Roman" w:hAnsi="Times New Roman" w:eastAsia="Times New Roman"/>
          <w:b w:val="0"/>
          <w:i w:val="0"/>
          <w:color w:val="1A1A1A"/>
          <w:sz w:val="22"/>
        </w:rPr>
        <w:t xml:space="preserve">Пилот </w:t>
      </w:r>
      <w:r>
        <w:rPr>
          <w:rFonts w:ascii="Times New Roman" w:hAnsi="Times New Roman" w:eastAsia="Times New Roman"/>
          <w:b/>
          <w:i w:val="0"/>
          <w:color w:val="1A1A1A"/>
          <w:sz w:val="22"/>
        </w:rPr>
        <w:t>2–3</w:t>
      </w:r>
      <w:r>
        <w:rPr>
          <w:rFonts w:ascii="Times New Roman" w:hAnsi="Times New Roman" w:eastAsia="Times New Roman"/>
          <w:b w:val="0"/>
          <w:i w:val="0"/>
          <w:color w:val="1A1A1A"/>
          <w:sz w:val="22"/>
        </w:rPr>
        <w:t xml:space="preserve"> агентства из shortlist.</w:t>
      </w:r>
    </w:p>
    <w:p>
      <w:pPr>
        <w:pStyle w:val="ListNumber"/>
        <w:spacing w:line="276" w:lineRule="auto" w:after="60"/>
      </w:pPr>
      <w:r>
        <w:rPr>
          <w:rFonts w:ascii="Times New Roman" w:hAnsi="Times New Roman" w:eastAsia="Times New Roman"/>
          <w:b w:val="0"/>
          <w:i w:val="0"/>
          <w:color w:val="1A1A1A"/>
          <w:sz w:val="22"/>
        </w:rPr>
        <w:t>Поля учёта и метки с дня 1.</w:t>
      </w:r>
    </w:p>
    <w:p>
      <w:pPr>
        <w:pStyle w:val="ListNumber"/>
        <w:spacing w:line="276" w:lineRule="auto" w:after="60"/>
      </w:pPr>
      <w:r>
        <w:rPr>
          <w:rFonts w:ascii="Times New Roman" w:hAnsi="Times New Roman" w:eastAsia="Times New Roman"/>
          <w:b w:val="0"/>
          <w:i w:val="0"/>
          <w:color w:val="1A1A1A"/>
          <w:sz w:val="22"/>
        </w:rPr>
        <w:t>Ипотечный контур в окне 45 дней.</w:t>
      </w:r>
    </w:p>
    <w:p>
      <w:pPr>
        <w:pStyle w:val="ListNumber"/>
        <w:spacing w:line="276" w:lineRule="auto" w:after="60"/>
      </w:pPr>
      <w:r>
        <w:rPr>
          <w:rFonts w:ascii="Times New Roman" w:hAnsi="Times New Roman" w:eastAsia="Times New Roman"/>
          <w:b w:val="0"/>
          <w:i w:val="0"/>
          <w:color w:val="1A1A1A"/>
          <w:sz w:val="22"/>
        </w:rPr>
        <w:t xml:space="preserve">Какие </w:t>
      </w:r>
      <w:r>
        <w:rPr>
          <w:rFonts w:ascii="Times New Roman" w:hAnsi="Times New Roman" w:eastAsia="Times New Roman"/>
          <w:b/>
          <w:i w:val="0"/>
          <w:color w:val="1A1A1A"/>
          <w:sz w:val="22"/>
        </w:rPr>
        <w:t>5–7</w:t>
      </w:r>
      <w:r>
        <w:rPr>
          <w:rFonts w:ascii="Times New Roman" w:hAnsi="Times New Roman" w:eastAsia="Times New Roman"/>
          <w:b w:val="0"/>
          <w:i w:val="0"/>
          <w:color w:val="1A1A1A"/>
          <w:sz w:val="22"/>
        </w:rPr>
        <w:t xml:space="preserve"> работ из минимума закрываем до </w:t>
      </w:r>
      <w:r>
        <w:rPr>
          <w:rFonts w:ascii="Times New Roman" w:hAnsi="Times New Roman" w:eastAsia="Times New Roman"/>
          <w:b/>
          <w:i w:val="0"/>
          <w:color w:val="1A1A1A"/>
          <w:sz w:val="22"/>
        </w:rPr>
        <w:t>~20 августа</w:t>
      </w:r>
      <w:r>
        <w:rPr>
          <w:rFonts w:ascii="Times New Roman" w:hAnsi="Times New Roman" w:eastAsia="Times New Roman"/>
          <w:b w:val="0"/>
          <w:i w:val="0"/>
          <w:color w:val="1A1A1A"/>
          <w:sz w:val="22"/>
        </w:rPr>
        <w:t>.</w:t>
      </w:r>
    </w:p>
    <w:p>
      <w:pPr>
        <w:spacing w:after="120" w:before="0" w:line="276" w:lineRule="auto"/>
        <w:ind w:firstLine="425"/>
      </w:pPr>
      <w:r>
        <w:rPr>
          <w:rFonts w:ascii="Times New Roman" w:hAnsi="Times New Roman" w:eastAsia="Times New Roman"/>
          <w:b/>
          <w:i w:val="0"/>
          <w:color w:val="1A1A1A"/>
          <w:sz w:val="21"/>
        </w:rPr>
        <w:t>По открытым данным</w:t>
      </w:r>
    </w:p>
    <w:p>
      <w:pPr>
        <w:pStyle w:val="ListNumber"/>
        <w:spacing w:line="276" w:lineRule="auto" w:after="60"/>
      </w:pPr>
      <w:r>
        <w:rPr>
          <w:rFonts w:ascii="Times New Roman" w:hAnsi="Times New Roman" w:eastAsia="Times New Roman"/>
          <w:b w:val="0"/>
          <w:i w:val="0"/>
          <w:color w:val="1A1A1A"/>
          <w:sz w:val="22"/>
        </w:rPr>
        <w:t>Когда можно опереться на статус разрешения / проектной декларации.</w:t>
      </w:r>
    </w:p>
    <w:p>
      <w:pPr>
        <w:pStyle w:val="ListNumber"/>
        <w:spacing w:line="276" w:lineRule="auto" w:after="60"/>
      </w:pPr>
      <w:r>
        <w:rPr>
          <w:rFonts w:ascii="Times New Roman" w:hAnsi="Times New Roman" w:eastAsia="Times New Roman"/>
          <w:b w:val="0"/>
          <w:i w:val="0"/>
          <w:color w:val="1A1A1A"/>
          <w:sz w:val="22"/>
        </w:rPr>
        <w:t>Кого из операторов управления уже рассматривает СД — добавить в сравнение.</w:t>
      </w:r>
    </w:p>
    <w:p>
      <w:pPr>
        <w:spacing w:after="120" w:before="0" w:line="276" w:lineRule="auto"/>
        <w:ind w:firstLine="425"/>
      </w:pPr>
      <w:r>
        <w:rPr>
          <w:rFonts w:ascii="Times New Roman" w:hAnsi="Times New Roman" w:eastAsia="Times New Roman"/>
          <w:b/>
          <w:i w:val="0"/>
          <w:color w:val="1A1A1A"/>
          <w:sz w:val="21"/>
        </w:rPr>
        <w:t>По контуру сопровождения на 90 дней</w:t>
      </w:r>
    </w:p>
    <w:p>
      <w:pPr>
        <w:pStyle w:val="ListNumber"/>
        <w:spacing w:line="276" w:lineRule="auto" w:after="60"/>
      </w:pPr>
      <w:r>
        <w:rPr>
          <w:rFonts w:ascii="Times New Roman" w:hAnsi="Times New Roman" w:eastAsia="Times New Roman"/>
          <w:b w:val="0"/>
          <w:i w:val="0"/>
          <w:color w:val="1A1A1A"/>
          <w:sz w:val="22"/>
        </w:rPr>
        <w:t>Усиливаем ли текущую связку IMPRO на период запуска в логике единого контура (стратегия, аналитика, учёт, агентства, координация подрядчиков)?</w:t>
      </w:r>
    </w:p>
    <w:p>
      <w:pPr>
        <w:pStyle w:val="ListNumber"/>
        <w:spacing w:line="276" w:lineRule="auto" w:after="60"/>
      </w:pPr>
      <w:r>
        <w:rPr>
          <w:rFonts w:ascii="Times New Roman" w:hAnsi="Times New Roman" w:eastAsia="Times New Roman"/>
          <w:b w:val="0"/>
          <w:i w:val="0"/>
          <w:color w:val="1A1A1A"/>
          <w:sz w:val="22"/>
        </w:rPr>
        <w:t>Базовый коридор сопровождения и принцип доборов «по задаче месяца» — выносим основателю / оставляем на следующий круг?</w:t>
      </w:r>
    </w:p>
    <w:p>
      <w:pPr>
        <w:pStyle w:val="ListNumber"/>
        <w:spacing w:line="276" w:lineRule="auto" w:after="60"/>
      </w:pPr>
      <w:r>
        <w:rPr>
          <w:rFonts w:ascii="Times New Roman" w:hAnsi="Times New Roman" w:eastAsia="Times New Roman"/>
          <w:b w:val="0"/>
          <w:i w:val="0"/>
          <w:color w:val="1A1A1A"/>
          <w:sz w:val="22"/>
        </w:rPr>
        <w:t>Дата короткого штаба (30–40 минут) и состав участников.</w:t>
      </w:r>
    </w:p>
    <w:p>
      <w:pPr>
        <w:spacing w:after="120" w:before="0" w:line="276" w:lineRule="auto"/>
        <w:ind w:firstLine="425"/>
      </w:pPr>
      <w:r>
        <w:rPr>
          <w:rFonts w:ascii="Times New Roman" w:hAnsi="Times New Roman" w:eastAsia="Times New Roman"/>
          <w:b w:val="0"/>
          <w:i w:val="0"/>
          <w:color w:val="1A1A1A"/>
          <w:sz w:val="21"/>
        </w:rPr>
        <w:t>Если по пункту 10–11 есть предварительное «да», в тот же день достаточно короткого протокола: роль на 90 дней · коридор базы · что входит / не входит · дата первого штаба · доступы к учёту. Это снимает риск, что договорённость «растворится» между встречами.</w:t>
      </w:r>
    </w:p>
    <w:p>
      <w:pPr>
        <w:pStyle w:val="Heading1"/>
      </w:pPr>
      <w:r>
        <w:rPr>
          <w:rFonts w:ascii="Times New Roman" w:hAnsi="Times New Roman" w:eastAsia="Times New Roman"/>
          <w:color w:val="1A1A1A"/>
          <w:sz w:val="32"/>
        </w:rPr>
        <w:t>Часть V. Краткая карта инициатив (для приложения к разбору)</w:t>
      </w:r>
    </w:p>
    <w:p>
      <w:pPr>
        <w:spacing w:after="120" w:before="0" w:line="276" w:lineRule="auto"/>
        <w:ind w:firstLine="425"/>
      </w:pPr>
      <w:r>
        <w:rPr>
          <w:rFonts w:ascii="Times New Roman" w:hAnsi="Times New Roman" w:eastAsia="Times New Roman"/>
          <w:b w:val="0"/>
          <w:i w:val="0"/>
          <w:color w:val="1A1A1A"/>
          <w:sz w:val="21"/>
        </w:rPr>
        <w:t>Полный перечень из 50 инициатив остаётся в материалах запуска. Здесь — только те, что напрямую связаны с фактами этой записки и с минимумом до пресейла.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1A1A1A"/>
                <w:sz w:val="16"/>
              </w:rPr>
              <w:t>Приоритет</w:t>
            </w:r>
          </w:p>
        </w:tc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1A1A1A"/>
                <w:sz w:val="16"/>
              </w:rPr>
              <w:t>Инициатива</w:t>
            </w:r>
          </w:p>
        </w:tc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1A1A1A"/>
                <w:sz w:val="16"/>
              </w:rPr>
              <w:t>Связь с фактом</w:t>
            </w:r>
          </w:p>
        </w:tc>
      </w:tr>
      <w:tr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Высокий</w:t>
            </w:r>
          </w:p>
        </w:tc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Канон «ворота» + запреты</w:t>
            </w:r>
          </w:p>
        </w:tc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Факт 1, 7</w:t>
            </w:r>
          </w:p>
        </w:tc>
      </w:tr>
      <w:tr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Высокий</w:t>
            </w:r>
          </w:p>
        </w:tc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Юррамка рекламы</w:t>
            </w:r>
          </w:p>
        </w:tc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Открытая зона 1</w:t>
            </w:r>
          </w:p>
        </w:tc>
      </w:tr>
      <w:tr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Высокий</w:t>
            </w:r>
          </w:p>
        </w:tc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Поля брони + метки</w:t>
            </w:r>
          </w:p>
        </w:tc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Факт 2, 5; калибровка гипотез</w:t>
            </w:r>
          </w:p>
        </w:tc>
      </w:tr>
      <w:tr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Высокий</w:t>
            </w:r>
          </w:p>
        </w:tc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Скрипты отдела продаж</w:t>
            </w:r>
          </w:p>
        </w:tc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Факт 7; отдел ~5 человек</w:t>
            </w:r>
          </w:p>
        </w:tc>
      </w:tr>
      <w:tr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Высокий</w:t>
            </w:r>
          </w:p>
        </w:tc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Пилот 2–3 агентства</w:t>
            </w:r>
          </w:p>
        </w:tc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Факт 8</w:t>
            </w:r>
          </w:p>
        </w:tc>
      </w:tr>
      <w:tr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Высокий</w:t>
            </w:r>
          </w:p>
        </w:tc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Ипотека 45 дней</w:t>
            </w:r>
          </w:p>
        </w:tc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Факт 5</w:t>
            </w:r>
          </w:p>
        </w:tc>
      </w:tr>
      <w:tr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Высокий</w:t>
            </w:r>
          </w:p>
        </w:tc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Еженедельный прогноз к 25/42/54</w:t>
            </w:r>
          </w:p>
        </w:tc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Факт 5, 6</w:t>
            </w:r>
          </w:p>
        </w:tc>
      </w:tr>
      <w:tr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Средний</w:t>
            </w:r>
          </w:p>
        </w:tc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Канон доходности 4–7,5%</w:t>
            </w:r>
          </w:p>
        </w:tc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Факт 7</w:t>
            </w:r>
          </w:p>
        </w:tc>
      </w:tr>
      <w:tr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Средний</w:t>
            </w:r>
          </w:p>
        </w:tc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Сравнение управляющих компаний</w:t>
            </w:r>
          </w:p>
        </w:tc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Открытая зона 3</w:t>
            </w:r>
          </w:p>
        </w:tc>
      </w:tr>
      <w:tr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Средний</w:t>
            </w:r>
          </w:p>
        </w:tc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Медиабюджет и окно сен–дек</w:t>
            </w:r>
          </w:p>
        </w:tc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Факт 6</w:t>
            </w:r>
          </w:p>
        </w:tc>
      </w:tr>
      <w:tr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Средний</w:t>
            </w:r>
          </w:p>
        </w:tc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Контроль витрин агентств</w:t>
            </w:r>
          </w:p>
        </w:tc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Факт 7, 8</w:t>
            </w:r>
          </w:p>
        </w:tc>
      </w:tr>
      <w:tr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Ниже для пресейла</w:t>
            </w:r>
          </w:p>
        </w:tc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Сибирские брокеры оптом, тяжёлый кабинет инвестора, «всем риэлторам»</w:t>
            </w:r>
          </w:p>
        </w:tc>
        <w:tc>
          <w:tcPr>
            <w:tcW w:type="dxa" w:w="3324"/>
          </w:tcPr>
          <w:p>
            <w:pPr>
              <w:spacing w:after="20" w:before="20" w:line="240" w:lineRule="auto"/>
            </w:pPr>
            <w:r>
              <w:rPr>
                <w:rFonts w:ascii="Times New Roman" w:hAnsi="Times New Roman" w:eastAsia="Times New Roman"/>
                <w:sz w:val="16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1A1A1A"/>
                <w:sz w:val="16"/>
              </w:rPr>
              <w:t>Не усиливают гейт 30.09</w:t>
            </w:r>
          </w:p>
        </w:tc>
      </w:tr>
    </w:tbl>
    <w:p/>
    <w:p>
      <w:pPr>
        <w:spacing w:after="120" w:before="0" w:line="276" w:lineRule="auto"/>
        <w:ind w:firstLine="425"/>
      </w:pPr>
      <w:r>
        <w:rPr>
          <w:rFonts w:ascii="Times New Roman" w:hAnsi="Times New Roman" w:eastAsia="Times New Roman"/>
          <w:b w:val="0"/>
          <w:i w:val="0"/>
          <w:color w:val="1A1A1A"/>
          <w:sz w:val="21"/>
        </w:rPr>
        <w:t xml:space="preserve">Так инициативы читаются не как «продажа пакета», а как </w:t>
      </w:r>
      <w:r>
        <w:rPr>
          <w:rFonts w:ascii="Times New Roman" w:hAnsi="Times New Roman" w:eastAsia="Times New Roman"/>
          <w:b/>
          <w:i w:val="0"/>
          <w:color w:val="1A1A1A"/>
          <w:sz w:val="21"/>
        </w:rPr>
        <w:t>очередность работ под ваши же гейты</w:t>
      </w:r>
      <w:r>
        <w:rPr>
          <w:rFonts w:ascii="Times New Roman" w:hAnsi="Times New Roman" w:eastAsia="Times New Roman"/>
          <w:b w:val="0"/>
          <w:i w:val="0"/>
          <w:color w:val="1A1A1A"/>
          <w:sz w:val="21"/>
        </w:rPr>
        <w:t>.</w:t>
      </w:r>
    </w:p>
    <w:p>
      <w:pPr>
        <w:spacing w:after="120" w:before="0" w:line="276" w:lineRule="auto"/>
        <w:ind w:firstLine="425"/>
      </w:pPr>
      <w:r>
        <w:rPr>
          <w:rFonts w:ascii="Times New Roman" w:hAnsi="Times New Roman" w:eastAsia="Times New Roman"/>
          <w:b w:val="0"/>
          <w:i/>
          <w:color w:val="1A1A1A"/>
          <w:sz w:val="21"/>
        </w:rPr>
        <w:t>Конец записки v1.1. Полный том — научное исследование. Внутренняя модель мандата IMPRO — отдельный рабочий файл; клиенту на разборе достаточно этой записки.</w:t>
      </w:r>
    </w:p>
    <w:sectPr w:rsidR="00FC693F" w:rsidRPr="0006063C" w:rsidSect="00034616">
      <w:footerReference w:type="default" r:id="rId9"/>
      <w:pgSz w:w="12240" w:h="15840"/>
      <w:pgMar w:top="1020" w:right="1020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b w:val="0"/>
        <w:i/>
        <w:color w:val="1A1A1A"/>
        <w:sz w:val="18"/>
      </w:rPr>
      <w:t>ЖК «Талай» · IMPRO Group · конфиденциально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