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1A1A1A"/>
          <w:sz w:val="22"/>
        </w:rPr>
        <w:t>IMPRO Group · внутренний документ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color w:val="1A1A1A"/>
          <w:sz w:val="32"/>
        </w:rPr>
        <w:t>Модель стратегического партнёрства</w:t>
        <w:br/>
        <w:t>ЖК «Талай» × Сибирь Девелопмент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1A1A1A"/>
          <w:sz w:val="20"/>
        </w:rPr>
        <w:t>Мандат · экономика 250–350 + доборы · путь к одобрению</w:t>
        <w:br/>
        <w:t>05.08.2026</w:t>
      </w:r>
    </w:p>
    <w:p/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2. Формулировка мандата (как говорить)</w:t>
      </w:r>
    </w:p>
    <w:p>
      <w:pPr>
        <w:spacing w:after="120" w:before="120" w:line="276" w:lineRule="auto"/>
        <w:ind w:left="567"/>
      </w:pPr>
      <w:r>
        <w:rPr>
          <w:rFonts w:ascii="Times New Roman" w:hAnsi="Times New Roman" w:eastAsia="Times New Roman"/>
          <w:b w:val="0"/>
          <w:i/>
          <w:color w:val="1A1A1A"/>
          <w:sz w:val="22"/>
        </w:rPr>
        <w:t xml:space="preserve">IMPRO отвечает за </w:t>
      </w:r>
      <w:r>
        <w:rPr>
          <w:rFonts w:ascii="Times New Roman" w:hAnsi="Times New Roman" w:eastAsia="Times New Roman"/>
          <w:b/>
          <w:i/>
          <w:color w:val="1A1A1A"/>
          <w:sz w:val="22"/>
        </w:rPr>
        <w:t>единый маркетингово–IT–коммерческий контур запуска ЖК «Талай»</w:t>
      </w:r>
      <w:r>
        <w:rPr>
          <w:rFonts w:ascii="Times New Roman" w:hAnsi="Times New Roman" w:eastAsia="Times New Roman"/>
          <w:b w:val="0"/>
          <w:i/>
          <w:color w:val="1A1A1A"/>
          <w:sz w:val="22"/>
        </w:rPr>
        <w:t xml:space="preserve">: стратегия и язык рынка, аналитика и тренды, архитектура цифрового контура, координация подрядчиков и агентского канала, еженедельный прогноз к цели 300 млн ₽ — </w:t>
      </w:r>
      <w:r>
        <w:rPr>
          <w:rFonts w:ascii="Times New Roman" w:hAnsi="Times New Roman" w:eastAsia="Times New Roman"/>
          <w:b/>
          <w:i/>
          <w:color w:val="1A1A1A"/>
          <w:sz w:val="22"/>
        </w:rPr>
        <w:t>внутри команды Сибирь Девелопмент</w:t>
      </w:r>
      <w:r>
        <w:rPr>
          <w:rFonts w:ascii="Times New Roman" w:hAnsi="Times New Roman" w:eastAsia="Times New Roman"/>
          <w:b w:val="0"/>
          <w:i/>
          <w:color w:val="1A1A1A"/>
          <w:sz w:val="22"/>
        </w:rPr>
        <w:t>, с правом останавливать токсичные формулировки и размытие приоритетов.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Четыре рычага, без которых роль не работает: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Рычаг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Содержание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Стратегия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Канон «город-ворота», запреты, приоритеты сегментов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Данные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Поля брони, метки источников, дашборд, разбор отказов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Канал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Аккредитация агентств, обучение, лот-лист, контроль витрин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Подряд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Одна точка постановки задач медиа / SMM / наружке / части IT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3. Как получить контроль (последовательность)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/>
          <w:i w:val="0"/>
          <w:color w:val="1A1A1A"/>
          <w:sz w:val="22"/>
        </w:rPr>
        <w:t>Зайти через риск, не через прайс.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План 300 млн ломается не «креативом», а каскадом: 25 броней к 30.09 → ипотека 45 дней → чужие обещания 13–18% → отдел из ~5 человек → хаос посредников.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/>
          <w:i w:val="0"/>
          <w:color w:val="1A1A1A"/>
          <w:sz w:val="22"/>
        </w:rPr>
        <w:t>Просить роль на 90 дней, не контракт «навсегда».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«Держатель контура на квартал запуска»: приоритеты, подрядчики, пилот агентств, аналитика, язык. Медиабюджет и комиссии агентств — за застройщиком.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/>
          <w:i w:val="0"/>
          <w:color w:val="1A1A1A"/>
          <w:sz w:val="22"/>
        </w:rPr>
        <w:t>Закрепить артефакты власти</w:t>
      </w: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 (иначе контроля не будет):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еженедельный коммерческий штаб (повестку ведёт IMPRO);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реестр формулировок (без согласования — не в эфир);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shortlist агентств (без аккредитации — нет лот-листа);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единый бриф подрядчикам через IMPRO;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доступ к учёту сделок и записи звонков по этапам воронки.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/>
          <w:i w:val="0"/>
          <w:color w:val="1A1A1A"/>
          <w:sz w:val="22"/>
        </w:rPr>
        <w:t>База 250–350 тыс. = мозг и координация</w:t>
      </w: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, не полный «запуск под ключ».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Тяжёлое исполнение — в доборы.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/>
          <w:i w:val="0"/>
          <w:color w:val="1A1A1A"/>
          <w:sz w:val="22"/>
        </w:rPr>
        <w:t>Через 60–90 дней</w:t>
      </w: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 — апсейл по факту работы контура (рост базы или стабильные доборы).</w:t>
      </w:r>
    </w:p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4. Что входит в абонентку 250–350 тыс. ₽/мес (ядро)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Блок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Содержание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Стратегия контура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Позиция, запреты, приоритеты сегментов, правки по рынку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Аналитика и тренды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Еженедельный срез воронки, отказов, конкурентов, сигналов рынка → 1–2 вывода для решений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Коммерческий контур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Прогноз к 300 млн, гейты 25 / 42 / 54 брони, повестка штаба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Контроль агентств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Пилот 2–3, регламент, обучение скрипту, контроль витрин (не замена отдела продаж)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Координация подрядчиков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Брифы, приёмка, приоритеты; закупка медиа — за клиентом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IT-архитектура (лёгкая)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Поля учёта, этапы, технические задания; не бесконечная разработка внутри базы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Риск-рамка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Право останавливать гарантии доходности и курортный язык</w:t>
            </w:r>
          </w:p>
        </w:tc>
      </w:tr>
    </w:tbl>
    <w:p/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Не обещать в базе: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полный рекламный закуп «под ключ», весь продакшн, полный разбор всех звонков без лимита часов, тяжёлую разработку, гарантию 32 договоров долевого участия.</w:t>
      </w:r>
    </w:p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5. Ежемесячный добор 150–350 тыс. ₽ (меню)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Добор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Когда включать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Ориентир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Ведение рекламных кабинетов / офис продвижения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Есть медиабюджет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80–150 тыс.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Разбор звонков + правка скриптов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Отдел уже звонит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40–80 тыс.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Продакшн / контент / бриф и приёмка наружки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Нужен объём креатива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40–120 тыс.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IT-спринты (бронь, калькулятор, кабинет)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Есть бэклог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60–150 тыс.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Расширение агентского канала / Сибирь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Локальный пилот стабилен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40–80 тыс.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Сравнение управляющих компаний + материалы для инвестора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До выбора оператора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40–70 тыс.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Спринт соцслушания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Всплеск возражений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30–50 тыс.</w:t>
            </w:r>
          </w:p>
        </w:tc>
      </w:tr>
    </w:tbl>
    <w:p/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Логика для клиента: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база = управление и ответственность; добор = руки под задачу месяца. Частый суммарный чек месяца —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400–700 тыс.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, но вход —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250–350 тыс.</w:t>
      </w:r>
    </w:p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6. Оплата процентом от договора долевого участия</w:t>
      </w:r>
    </w:p>
    <w:p>
      <w:pPr>
        <w:pStyle w:val="Heading3"/>
      </w:pPr>
      <w:r>
        <w:rPr>
          <w:rFonts w:ascii="Times New Roman" w:hAnsi="Times New Roman" w:eastAsia="Times New Roman"/>
          <w:color w:val="1A1A1A"/>
          <w:sz w:val="24"/>
        </w:rPr>
        <w:t>Вердикт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Как основную оплату — нет. Как узкий бонус сверху абонентки — допустимо.</w:t>
      </w:r>
    </w:p>
    <w:p>
      <w:pPr>
        <w:pStyle w:val="Heading3"/>
      </w:pPr>
      <w:r>
        <w:rPr>
          <w:rFonts w:ascii="Times New Roman" w:hAnsi="Times New Roman" w:eastAsia="Times New Roman"/>
          <w:color w:val="1A1A1A"/>
          <w:sz w:val="24"/>
        </w:rPr>
        <w:t>Почему нельзя строить модель на % с каждого договора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спор «чей клиент» (отдел продаж / агентство / реклама / самотёк);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давление на скидки и на бронь любой ценой;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риск токсичных обещаний доходности;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споры при рассрочках, расторжениях, эскроу;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для основателя «% со всего объёма» выглядит неоправданно дорого за координацию.</w:t>
      </w:r>
    </w:p>
    <w:p>
      <w:pPr>
        <w:pStyle w:val="Heading3"/>
      </w:pPr>
      <w:r>
        <w:rPr>
          <w:rFonts w:ascii="Times New Roman" w:hAnsi="Times New Roman" w:eastAsia="Times New Roman"/>
          <w:color w:val="1A1A1A"/>
          <w:sz w:val="24"/>
        </w:rPr>
        <w:t>Безопасные модели upside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Модель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Описание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Предпочтительно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Абонентка 250–350 тыс. + доборы; квартальный бонус фиксированной суммой за гейты (25/42/54 брони, конверсия ≥60%)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Допустимо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+ 0,3–0,7% только от договоров, прошедших через аккредитованный агентский канал / метку IMPRO, после регистрации и без срыва брони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Нельзя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Процент со всех договоров проекта «за стратегию» без атрибуции</w:t>
            </w:r>
          </w:p>
        </w:tc>
      </w:tr>
    </w:tbl>
    <w:p/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Практичный гибрид:</w:t>
      </w:r>
    </w:p>
    <w:p>
      <w:pPr>
        <w:spacing w:after="120" w:before="120" w:line="276" w:lineRule="auto"/>
        <w:ind w:left="567"/>
      </w:pPr>
      <w:r>
        <w:rPr>
          <w:rFonts w:ascii="Times New Roman" w:hAnsi="Times New Roman" w:eastAsia="Times New Roman"/>
          <w:b w:val="0"/>
          <w:i/>
          <w:color w:val="1A1A1A"/>
          <w:sz w:val="22"/>
        </w:rPr>
        <w:t xml:space="preserve">База </w:t>
      </w:r>
      <w:r>
        <w:rPr>
          <w:rFonts w:ascii="Times New Roman" w:hAnsi="Times New Roman" w:eastAsia="Times New Roman"/>
          <w:b/>
          <w:i/>
          <w:color w:val="1A1A1A"/>
          <w:sz w:val="22"/>
        </w:rPr>
        <w:t>~300 тыс.</w:t>
      </w:r>
      <w:r>
        <w:rPr>
          <w:rFonts w:ascii="Times New Roman" w:hAnsi="Times New Roman" w:eastAsia="Times New Roman"/>
          <w:b w:val="0"/>
          <w:i/>
          <w:color w:val="1A1A1A"/>
          <w:sz w:val="22"/>
        </w:rPr>
        <w:t xml:space="preserve"> ₽/мес</w:t>
      </w:r>
    </w:p>
    <w:p>
      <w:pPr>
        <w:spacing w:after="120" w:before="120" w:line="276" w:lineRule="auto"/>
        <w:ind w:left="567"/>
      </w:pPr>
      <w:r>
        <w:rPr>
          <w:rFonts w:ascii="Times New Roman" w:hAnsi="Times New Roman" w:eastAsia="Times New Roman"/>
          <w:b w:val="0"/>
          <w:i/>
          <w:color w:val="1A1A1A"/>
          <w:sz w:val="22"/>
        </w:rPr>
        <w:t>+ доборы по меню</w:t>
      </w:r>
    </w:p>
    <w:p>
      <w:pPr>
        <w:spacing w:after="120" w:before="120" w:line="276" w:lineRule="auto"/>
        <w:ind w:left="567"/>
      </w:pPr>
      <w:r>
        <w:rPr>
          <w:rFonts w:ascii="Times New Roman" w:hAnsi="Times New Roman" w:eastAsia="Times New Roman"/>
          <w:b w:val="0"/>
          <w:i/>
          <w:color w:val="1A1A1A"/>
          <w:sz w:val="22"/>
        </w:rPr>
        <w:t xml:space="preserve">+ квартальный бонус </w:t>
      </w:r>
      <w:r>
        <w:rPr>
          <w:rFonts w:ascii="Times New Roman" w:hAnsi="Times New Roman" w:eastAsia="Times New Roman"/>
          <w:b/>
          <w:i/>
          <w:color w:val="1A1A1A"/>
          <w:sz w:val="22"/>
        </w:rPr>
        <w:t>150–400 тыс.</w:t>
      </w:r>
      <w:r>
        <w:rPr>
          <w:rFonts w:ascii="Times New Roman" w:hAnsi="Times New Roman" w:eastAsia="Times New Roman"/>
          <w:b w:val="0"/>
          <w:i/>
          <w:color w:val="1A1A1A"/>
          <w:sz w:val="22"/>
        </w:rPr>
        <w:t xml:space="preserve"> за гейты</w:t>
      </w:r>
    </w:p>
    <w:p>
      <w:pPr>
        <w:spacing w:after="120" w:before="120" w:line="276" w:lineRule="auto"/>
        <w:ind w:left="567"/>
      </w:pPr>
      <w:r>
        <w:rPr>
          <w:rFonts w:ascii="Times New Roman" w:hAnsi="Times New Roman" w:eastAsia="Times New Roman"/>
          <w:b/>
          <w:i/>
          <w:color w:val="1A1A1A"/>
          <w:sz w:val="22"/>
        </w:rPr>
        <w:t>или</w:t>
      </w:r>
      <w:r>
        <w:rPr>
          <w:rFonts w:ascii="Times New Roman" w:hAnsi="Times New Roman" w:eastAsia="Times New Roman"/>
          <w:b w:val="0"/>
          <w:i/>
          <w:color w:val="1A1A1A"/>
          <w:sz w:val="22"/>
        </w:rPr>
        <w:t xml:space="preserve"> 0,5% только с договоров канала пилотных агентств под регламентом IMPRO</w:t>
      </w:r>
    </w:p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7. Какие инициативы закрепить за IMPRO как за стратегическим партнёром</w:t>
      </w:r>
    </w:p>
    <w:p>
      <w:pPr>
        <w:pStyle w:val="Heading3"/>
      </w:pPr>
      <w:r>
        <w:rPr>
          <w:rFonts w:ascii="Times New Roman" w:hAnsi="Times New Roman" w:eastAsia="Times New Roman"/>
          <w:color w:val="1A1A1A"/>
          <w:sz w:val="24"/>
        </w:rPr>
        <w:t>В ядро мандата (обязательно)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канон «город-ворота» и реестр запрещённых формулировок;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поля учёта брони и метки источников;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пилот и регламент 2–3 агентств, контроль витрин;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канон коммуникации доходности (~4–7,5% как сценарий, не гарантия);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еженедельный прогноз к 300 млн и ритм штаба;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координация подрядчиков;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мониторинг конкурентов и трендов;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карта контура запуска и гейты 30.09 / 31.10 / 30.11.</w:t>
      </w:r>
    </w:p>
    <w:p>
      <w:pPr>
        <w:pStyle w:val="Heading3"/>
      </w:pPr>
      <w:r>
        <w:rPr>
          <w:rFonts w:ascii="Times New Roman" w:hAnsi="Times New Roman" w:eastAsia="Times New Roman"/>
          <w:color w:val="1A1A1A"/>
          <w:sz w:val="24"/>
        </w:rPr>
        <w:t>Совместно с застройщиком (IMPRO — архитектура, СД — владелец)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ипотечный контур 45 дней;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юридическая рамка рекламы до разрешения на строительство;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медиабюджет;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сайт и бронь (ТЗ и приёмка — IMPRO; исполнение — добор/подряд).</w:t>
      </w:r>
    </w:p>
    <w:p>
      <w:pPr>
        <w:pStyle w:val="Heading3"/>
      </w:pPr>
      <w:r>
        <w:rPr>
          <w:rFonts w:ascii="Times New Roman" w:hAnsi="Times New Roman" w:eastAsia="Times New Roman"/>
          <w:color w:val="1A1A1A"/>
          <w:sz w:val="24"/>
        </w:rPr>
        <w:t>Не забирать в базу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весь рекламный закуп;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весь контент-завод;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массовая аккредитация всех частных риэлторов;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обещание «32 договора под ключ».</w:t>
      </w:r>
    </w:p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8. Путь к одобрению: как сдвинуть мысль к стратегическому партнёрству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Ниже — рабочая схема: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как документами сподвигнуть на решение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, а не «продать пакет».</w:t>
      </w:r>
    </w:p>
    <w:p>
      <w:pPr>
        <w:pStyle w:val="Heading3"/>
      </w:pPr>
      <w:r>
        <w:rPr>
          <w:rFonts w:ascii="Times New Roman" w:hAnsi="Times New Roman" w:eastAsia="Times New Roman"/>
          <w:color w:val="1A1A1A"/>
          <w:sz w:val="24"/>
        </w:rPr>
        <w:t>8.1. Принцип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Не начинать с цены. Начинать с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разрыва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: «система запуска не собрана» → «нужен держатель контура» → «вот роль на 90 дней» → «вот экономика 250–350 + доборы».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Документы играют разные роли: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Документ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Роль в убеждении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Научное исследование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Статус экспертизы, доверие к методу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Прикладная записка (факты + рекомендации)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Повестка разбора и список решений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Этот документ (мандат)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Внутренняя упаковка IMPRO → короткая версия основателю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Карта инициатив / топ-12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«Вот работы, которые уже названы — их должен кто-то держать»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Times New Roman"/>
          <w:color w:val="1A1A1A"/>
          <w:sz w:val="24"/>
        </w:rPr>
        <w:t>8.2. Сценарий встречи (45–60 минут)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Минуты 0–10. Факты без продажи.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Из записки: ворота ≠ курорт; чек 9–11 млн не тянет средняя зарплата; 82,5% компакта; гейт 25 броней; −47,8% распроданности; честные 4–7,5% vs чужие 13–18%; посредников «сто» в рабочем смысле нет.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/>
          <w:color w:val="1A1A1A"/>
          <w:sz w:val="21"/>
        </w:rPr>
        <w:t>Цель: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согласие с рамкой рынка.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Минуты 10–20. Разрыв.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Вопрос в зал: «Кто персонально каждую неделю сводит язык, учёт, агентства, подрядчиков и прогноз к 300 млн?» Если ответа нет — мандат уже логичен.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Минуты 20–35. Инициативы как доказательство объёма.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Показать не 50 пунктов, а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топ-7 до 20 августа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и сказать:</w:t>
      </w:r>
    </w:p>
    <w:p>
      <w:pPr>
        <w:spacing w:after="120" w:before="120" w:line="276" w:lineRule="auto"/>
        <w:ind w:left="567"/>
      </w:pPr>
      <w:r>
        <w:rPr>
          <w:rFonts w:ascii="Times New Roman" w:hAnsi="Times New Roman" w:eastAsia="Times New Roman"/>
          <w:b w:val="0"/>
          <w:i/>
          <w:color w:val="1A1A1A"/>
          <w:sz w:val="22"/>
        </w:rPr>
        <w:t>Эти работы уже следуют из вашего же плана запуска. Их нельзя закрыть разовым сайтом и поисковым продвижением на 200 тыс. Нужен держатель контура.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Список для стола: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язык и запреты;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юррамка рекламы;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учёт броней и метки;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скрипты отдела продаж;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пилот 2–3 агентства;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ипотечный контур 45 дней;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еженедельный прогноз и штаб.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Минуты 35–45. Предложение роли, не прайса.</w:t>
      </w:r>
    </w:p>
    <w:p>
      <w:pPr>
        <w:spacing w:after="120" w:before="120" w:line="276" w:lineRule="auto"/>
        <w:ind w:left="567"/>
      </w:pPr>
      <w:r>
        <w:rPr>
          <w:rFonts w:ascii="Times New Roman" w:hAnsi="Times New Roman" w:eastAsia="Times New Roman"/>
          <w:b w:val="0"/>
          <w:i/>
          <w:color w:val="1A1A1A"/>
          <w:sz w:val="22"/>
        </w:rPr>
        <w:t>На 90 дней IMPRO берёт роль стратегического партнёра по контуру: стратегия, аналитика, IT-архитектура, агентства, подряд.</w:t>
      </w:r>
    </w:p>
    <w:p>
      <w:pPr>
        <w:spacing w:after="120" w:before="120" w:line="276" w:lineRule="auto"/>
        <w:ind w:left="567"/>
      </w:pPr>
      <w:r>
        <w:rPr>
          <w:rFonts w:ascii="Times New Roman" w:hAnsi="Times New Roman" w:eastAsia="Times New Roman"/>
          <w:b w:val="0"/>
          <w:i/>
          <w:color w:val="1A1A1A"/>
          <w:sz w:val="22"/>
        </w:rPr>
        <w:t>База 250–350 тыс. (апгрейд с текущих ~200).</w:t>
      </w:r>
    </w:p>
    <w:p>
      <w:pPr>
        <w:spacing w:after="120" w:before="120" w:line="276" w:lineRule="auto"/>
        <w:ind w:left="567"/>
      </w:pPr>
      <w:r>
        <w:rPr>
          <w:rFonts w:ascii="Times New Roman" w:hAnsi="Times New Roman" w:eastAsia="Times New Roman"/>
          <w:b w:val="0"/>
          <w:i/>
          <w:color w:val="1A1A1A"/>
          <w:sz w:val="22"/>
        </w:rPr>
        <w:t>Руки месяца — добором.</w:t>
      </w:r>
    </w:p>
    <w:p>
      <w:pPr>
        <w:spacing w:after="120" w:before="120" w:line="276" w:lineRule="auto"/>
        <w:ind w:left="567"/>
      </w:pPr>
      <w:r>
        <w:rPr>
          <w:rFonts w:ascii="Times New Roman" w:hAnsi="Times New Roman" w:eastAsia="Times New Roman"/>
          <w:b w:val="0"/>
          <w:i/>
          <w:color w:val="1A1A1A"/>
          <w:sz w:val="22"/>
        </w:rPr>
        <w:t>Успех — по гейтам, не процент со всех договоров.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Минуты 45–60. Решение в протокол.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Зафиксировать письменно: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да / нет роли на 90 дней;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состав ядра;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лимит доборов на август–сентябрь;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дата штаба;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кто открывает доступ к учёту и звонкам;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зачёт уже сделанной аналитики в первый месяц.</w:t>
      </w:r>
    </w:p>
    <w:p>
      <w:pPr>
        <w:pStyle w:val="Heading3"/>
      </w:pPr>
      <w:r>
        <w:rPr>
          <w:rFonts w:ascii="Times New Roman" w:hAnsi="Times New Roman" w:eastAsia="Times New Roman"/>
          <w:color w:val="1A1A1A"/>
          <w:sz w:val="24"/>
        </w:rPr>
        <w:t>8.3. Приёмы, которые сдвигают решение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/>
          <w:i w:val="0"/>
          <w:color w:val="1A1A1A"/>
          <w:sz w:val="22"/>
        </w:rPr>
        <w:t>Связка с их KPI.</w:t>
      </w: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 Каждая рекомендация записки → риск срыва 25 броней / 300 млн.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/>
          <w:i w:val="0"/>
          <w:color w:val="1A1A1A"/>
          <w:sz w:val="22"/>
        </w:rPr>
        <w:t>Зачёт исследования.</w:t>
      </w: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 «Часть входа уже сделана — не платите за воздух».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/>
          <w:i w:val="0"/>
          <w:color w:val="1A1A1A"/>
          <w:sz w:val="22"/>
        </w:rPr>
        <w:t>Узкий вход.</w:t>
      </w: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 90 дней и 250–350 тыс. проще, чем «750 навсегда».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/>
          <w:i w:val="0"/>
          <w:color w:val="1A1A1A"/>
          <w:sz w:val="22"/>
        </w:rPr>
        <w:t>Разделить бюджеты.</w:t>
      </w: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 Медиа и комиссии агентств отдельно — снимает страх «они освоят весь маркетинг».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/>
          <w:i w:val="0"/>
          <w:color w:val="1A1A1A"/>
          <w:sz w:val="22"/>
        </w:rPr>
        <w:t>Антипредложение.</w:t>
      </w: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 «Можно остаться на 200 тыс. SEO+dev — тогда контур агентств, языка и прогноза остаётся на вас». Честный развилка.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/>
          <w:i w:val="0"/>
          <w:color w:val="1A1A1A"/>
          <w:sz w:val="22"/>
        </w:rPr>
        <w:t>Один лист основателю</w:t>
      </w: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 после согласия маркетинг-директора: роль · 90 дней · база · доборы · что не обещаем · 3 решения «да/нет».</w:t>
      </w:r>
    </w:p>
    <w:p>
      <w:pPr>
        <w:pStyle w:val="Heading3"/>
      </w:pPr>
      <w:r>
        <w:rPr>
          <w:rFonts w:ascii="Times New Roman" w:hAnsi="Times New Roman" w:eastAsia="Times New Roman"/>
          <w:color w:val="1A1A1A"/>
          <w:sz w:val="24"/>
        </w:rPr>
        <w:t>8.4. Чего не делать на встрече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не начинать с «нам нужна абонентка 350»;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не обещать 32 договора «под ключ»;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не предлагать % со всех ДДУ как основу;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не вываливать 50 инициатив без топ-приоритета;</w:t>
      </w:r>
    </w:p>
    <w:p>
      <w:pPr>
        <w:pStyle w:val="ListBullet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не спорить с меморандумом клиента — опираться на него и усиливать.</w:t>
      </w:r>
    </w:p>
    <w:p>
      <w:pPr>
        <w:pStyle w:val="Heading3"/>
      </w:pPr>
      <w:r>
        <w:rPr>
          <w:rFonts w:ascii="Times New Roman" w:hAnsi="Times New Roman" w:eastAsia="Times New Roman"/>
          <w:color w:val="1A1A1A"/>
          <w:sz w:val="24"/>
        </w:rPr>
        <w:t>8.5. Критерий «одобрение получено»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Считается успехом, если в протоколе есть хотя бы: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роль IMPRO как держателя контура на 90 дней — </w:t>
      </w:r>
      <w:r>
        <w:rPr>
          <w:rFonts w:ascii="Times New Roman" w:hAnsi="Times New Roman" w:eastAsia="Times New Roman"/>
          <w:b/>
          <w:i w:val="0"/>
          <w:color w:val="1A1A1A"/>
          <w:sz w:val="22"/>
        </w:rPr>
        <w:t>да</w:t>
      </w: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;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база в диапазоне </w:t>
      </w:r>
      <w:r>
        <w:rPr>
          <w:rFonts w:ascii="Times New Roman" w:hAnsi="Times New Roman" w:eastAsia="Times New Roman"/>
          <w:b/>
          <w:i w:val="0"/>
          <w:color w:val="1A1A1A"/>
          <w:sz w:val="22"/>
        </w:rPr>
        <w:t>250–350 тыс.</w:t>
      </w: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 — согласована к выносу основателю / утверждена;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пилот агентств и реестр формулировок — под контролем IMPRO;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еженедельный штаб с повесткой IMPRO — назначен.</w:t>
      </w:r>
    </w:p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9. Одностраничник для основателя (текст)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Роль.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IMPRO — стратегический партнёр по маркетингово–IT–коммерческому контуру запуска «Талай» на 90 дней.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Зачем.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Цель ≥300 млн ₽ договоров к 31.12.2026 при отделе ~5 человек не закрывается поисковым продвижением и разовыми подрядчиками. Нужна одна точка: язык, данные, агентства, подряд, прогноз.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Что делаем.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Стратегия и запреты формулировок; аналитика и тренды; архитектура учёта; пилот 2–3 агентства; координация подрядчиков; еженедельный штаб к гейтам 25 / 42 / 54 брони.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Что не делаем.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Не гарантируем сделки «под ключ». Не обещаем доходность покупателям. Медиабюджет и комиссии агентств — отдельные строки застройщика.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Экономика.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Абонентка 250–350 тыс. ₽/мес + доборы 150–350 тыс. по задаче месяца. Успех — бонус за гейты или узкий % только с атрибутируемого агентского канала (по желанию). Зачёт уже выполненной аналитики — в первый месяц.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Решение.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Утвердить роль на 90 дней · базу · дату штаба · доступ к учёту.</w:t>
      </w:r>
    </w:p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10. Следующие шаги IMPRO (внутренние)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Согласовать внутри IMPRO коридор базы (250 / 300 / 350) и лимит доборов на сентябрь.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Подготовить одностраничник основателю (§9) на бланке.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На разборе вестись по прикладной записке; этот документ — шпаргалка переговорщика.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После «да» от маркетинга — письмо-протокол роли на 90 дней в тот же день.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Не смешивать в одном письме прайс и исследование: сначала рамка и роль, затем экономика.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/>
          <w:color w:val="1A1A1A"/>
          <w:sz w:val="21"/>
        </w:rPr>
        <w:t>Конец документа. Использование: внутренний контур IMPRO; §9 — можно выносить клиенту после адаптации.</w:t>
      </w:r>
    </w:p>
    <w:sectPr w:rsidR="00FC693F" w:rsidRPr="0006063C" w:rsidSect="00034616">
      <w:footerReference w:type="default" r:id="rId9"/>
      <w:pgSz w:w="12240" w:h="15840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1A1A1A"/>
        <w:sz w:val="18"/>
      </w:rPr>
      <w:t>Стратегическое партнёрство IMPRO × СД · ЖК «Талай» · конфиденциально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